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5815B" w14:textId="2A1E3654" w:rsidR="00C6554A" w:rsidRPr="000D52ED" w:rsidRDefault="001017B1" w:rsidP="005C249C">
      <w:pPr>
        <w:pStyle w:val="Ttulo"/>
        <w:rPr>
          <w:noProof/>
          <w:sz w:val="36"/>
          <w:szCs w:val="36"/>
          <w:lang w:val="es-ES_tradnl"/>
        </w:rPr>
      </w:pPr>
      <w:r w:rsidRPr="000D52ED">
        <w:rPr>
          <w:noProof/>
          <w:sz w:val="36"/>
          <w:szCs w:val="36"/>
          <w:lang w:val="es-ES_tradnl"/>
        </w:rPr>
        <w:t>D</w:t>
      </w:r>
      <w:r w:rsidR="00731EE3" w:rsidRPr="000D52ED">
        <w:rPr>
          <w:noProof/>
          <w:sz w:val="36"/>
          <w:szCs w:val="36"/>
          <w:lang w:val="es-ES_tradnl"/>
        </w:rPr>
        <w:t xml:space="preserve">ecreto </w:t>
      </w:r>
      <w:r w:rsidR="00476484" w:rsidRPr="000D52ED">
        <w:rPr>
          <w:noProof/>
          <w:sz w:val="36"/>
          <w:szCs w:val="36"/>
          <w:lang w:val="es-ES_tradnl"/>
        </w:rPr>
        <w:t>No. 1084 de 2015</w:t>
      </w:r>
      <w:r w:rsidR="00312AEC" w:rsidRPr="000D52ED">
        <w:rPr>
          <w:noProof/>
          <w:sz w:val="36"/>
          <w:szCs w:val="36"/>
          <w:lang w:val="es-ES_tradnl"/>
        </w:rPr>
        <w:t>,</w:t>
      </w:r>
      <w:r w:rsidR="00731EE3" w:rsidRPr="000D52ED">
        <w:rPr>
          <w:noProof/>
          <w:sz w:val="36"/>
          <w:szCs w:val="36"/>
          <w:lang w:val="es-ES_tradnl"/>
        </w:rPr>
        <w:t>Único Reglamentario del Sector de la Inclusión Social y la Reconciliación</w:t>
      </w:r>
    </w:p>
    <w:p w14:paraId="3749F732" w14:textId="77777777" w:rsidR="00A15879" w:rsidRPr="000D52ED" w:rsidRDefault="00A15879" w:rsidP="005C249C">
      <w:pPr>
        <w:pStyle w:val="Subttulo"/>
        <w:rPr>
          <w:noProof/>
          <w:lang w:val="es-ES_tradnl"/>
        </w:rPr>
      </w:pPr>
    </w:p>
    <w:p w14:paraId="58B03AF3" w14:textId="2A1A524C" w:rsidR="00C6554A" w:rsidRPr="000D52ED" w:rsidRDefault="00A15879" w:rsidP="005C249C">
      <w:pPr>
        <w:pStyle w:val="Subttulo"/>
        <w:rPr>
          <w:noProof/>
          <w:lang w:val="es-ES_tradnl"/>
        </w:rPr>
      </w:pPr>
      <w:r w:rsidRPr="000D52ED">
        <w:rPr>
          <w:noProof/>
          <w:lang w:val="es-ES_tradnl"/>
        </w:rPr>
        <w:t xml:space="preserve">informe ejecutivo </w:t>
      </w:r>
      <w:r w:rsidR="004B1FCC" w:rsidRPr="000D52ED">
        <w:rPr>
          <w:noProof/>
          <w:lang w:val="es-ES_tradnl"/>
        </w:rPr>
        <w:t>Proceso de depuración</w:t>
      </w:r>
      <w:r w:rsidR="006E053D" w:rsidRPr="000D52ED">
        <w:rPr>
          <w:noProof/>
          <w:lang w:val="es-ES_tradnl"/>
        </w:rPr>
        <w:t xml:space="preserve"> y modificación</w:t>
      </w:r>
      <w:r w:rsidR="00B42420" w:rsidRPr="000D52ED">
        <w:rPr>
          <w:noProof/>
          <w:lang w:val="es-ES_tradnl"/>
        </w:rPr>
        <w:t xml:space="preserve"> </w:t>
      </w:r>
      <w:r w:rsidR="004B1FCC" w:rsidRPr="000D52ED">
        <w:rPr>
          <w:noProof/>
          <w:lang w:val="es-ES_tradnl"/>
        </w:rPr>
        <w:t>normativa</w:t>
      </w:r>
    </w:p>
    <w:p w14:paraId="70F60BAD" w14:textId="3D9511BD" w:rsidR="004B1FCC" w:rsidRPr="000D52ED" w:rsidRDefault="004B1FCC" w:rsidP="00E16D5F">
      <w:pPr>
        <w:pStyle w:val="Informacindecontacto"/>
        <w:jc w:val="both"/>
        <w:rPr>
          <w:noProof/>
          <w:lang w:val="es-ES_tradnl" w:bidi="es-ES"/>
        </w:rPr>
      </w:pPr>
      <w:r w:rsidRPr="000D52ED">
        <w:rPr>
          <w:noProof/>
          <w:lang w:val="es-ES_tradnl" w:bidi="es-ES"/>
        </w:rPr>
        <w:t xml:space="preserve">Oficina Asesora Juridica </w:t>
      </w:r>
    </w:p>
    <w:p w14:paraId="49C8B666" w14:textId="5FAA3987" w:rsidR="004B1FCC" w:rsidRPr="000D52ED" w:rsidRDefault="004B1FCC" w:rsidP="00E16D5F">
      <w:pPr>
        <w:pStyle w:val="Informacindecontacto"/>
        <w:jc w:val="both"/>
        <w:rPr>
          <w:noProof/>
          <w:lang w:val="es-ES_tradnl" w:bidi="es-ES"/>
        </w:rPr>
      </w:pPr>
      <w:r w:rsidRPr="000D52ED">
        <w:rPr>
          <w:noProof/>
          <w:lang w:val="es-ES_tradnl" w:bidi="es-ES"/>
        </w:rPr>
        <w:t xml:space="preserve">Departamento Administrativo para la Prosperidad Social </w:t>
      </w:r>
    </w:p>
    <w:p w14:paraId="7BD273A3" w14:textId="54A4FC7E" w:rsidR="00C6554A" w:rsidRPr="000D52ED" w:rsidRDefault="00C6554A" w:rsidP="00E16D5F">
      <w:pPr>
        <w:pStyle w:val="Informacindecontacto"/>
        <w:jc w:val="both"/>
        <w:rPr>
          <w:noProof/>
          <w:lang w:val="es-ES_tradnl"/>
        </w:rPr>
      </w:pPr>
      <w:r w:rsidRPr="000D52ED">
        <w:rPr>
          <w:noProof/>
          <w:lang w:val="es-ES_tradnl" w:bidi="es-ES"/>
        </w:rPr>
        <w:t xml:space="preserve"> </w:t>
      </w:r>
      <w:r w:rsidR="00403F1D" w:rsidRPr="000D52ED">
        <w:rPr>
          <w:noProof/>
          <w:lang w:val="es-ES_tradnl" w:bidi="es-ES"/>
        </w:rPr>
        <w:t xml:space="preserve">Bogota D.C., </w:t>
      </w:r>
      <w:r w:rsidR="00603924">
        <w:rPr>
          <w:noProof/>
          <w:lang w:val="es-ES_tradnl" w:bidi="es-ES"/>
        </w:rPr>
        <w:t>31</w:t>
      </w:r>
      <w:r w:rsidR="006E053D" w:rsidRPr="000D52ED">
        <w:rPr>
          <w:noProof/>
          <w:lang w:val="es-ES_tradnl" w:bidi="es-ES"/>
        </w:rPr>
        <w:t xml:space="preserve"> de </w:t>
      </w:r>
      <w:r w:rsidR="00603924">
        <w:rPr>
          <w:noProof/>
          <w:lang w:val="es-ES_tradnl" w:bidi="es-ES"/>
        </w:rPr>
        <w:t>agosto</w:t>
      </w:r>
      <w:r w:rsidR="006C0348" w:rsidRPr="000D52ED">
        <w:rPr>
          <w:noProof/>
          <w:lang w:val="es-ES_tradnl" w:bidi="es-ES"/>
        </w:rPr>
        <w:t xml:space="preserve"> </w:t>
      </w:r>
      <w:r w:rsidR="006E053D" w:rsidRPr="000D52ED">
        <w:rPr>
          <w:noProof/>
          <w:lang w:val="es-ES_tradnl" w:bidi="es-ES"/>
        </w:rPr>
        <w:t>de 2021</w:t>
      </w:r>
    </w:p>
    <w:p w14:paraId="53AB1B9D" w14:textId="42D9A583" w:rsidR="00C6554A" w:rsidRPr="000D52ED" w:rsidRDefault="00A15879" w:rsidP="00E16D5F">
      <w:pPr>
        <w:pStyle w:val="Ttulo1"/>
        <w:jc w:val="both"/>
        <w:rPr>
          <w:noProof/>
          <w:lang w:val="es-ES_tradnl"/>
        </w:rPr>
      </w:pPr>
      <w:r w:rsidRPr="000D52ED">
        <w:rPr>
          <w:noProof/>
          <w:lang w:val="es-ES_tradnl"/>
        </w:rPr>
        <w:t xml:space="preserve">Desarrollo del informe: </w:t>
      </w:r>
    </w:p>
    <w:p w14:paraId="1B96DF6E" w14:textId="77777777" w:rsidR="00603924" w:rsidRDefault="00603924" w:rsidP="00E16D5F">
      <w:pPr>
        <w:jc w:val="both"/>
        <w:rPr>
          <w:noProof/>
          <w:lang w:val="es-ES_tradnl"/>
        </w:rPr>
      </w:pPr>
    </w:p>
    <w:p w14:paraId="32AF6370" w14:textId="451D9982" w:rsidR="00A15879" w:rsidRPr="000D52ED" w:rsidRDefault="00A15879" w:rsidP="00E16D5F">
      <w:pPr>
        <w:jc w:val="both"/>
        <w:rPr>
          <w:noProof/>
          <w:lang w:val="es-ES_tradnl"/>
        </w:rPr>
      </w:pPr>
      <w:r w:rsidRPr="000D52ED">
        <w:rPr>
          <w:noProof/>
          <w:lang w:val="es-ES_tradnl"/>
        </w:rPr>
        <w:t xml:space="preserve">En el marco de la estrategia Estado Simple, Colombia Ágil, la Dirección del Desarrollo del Derecho y Ordenamiento Jurídico del Ministerio de Justicia y del Derecho </w:t>
      </w:r>
      <w:r w:rsidR="00D202CF" w:rsidRPr="000D52ED">
        <w:rPr>
          <w:noProof/>
          <w:lang w:val="es-ES_tradnl"/>
        </w:rPr>
        <w:t>adelanta</w:t>
      </w:r>
      <w:r w:rsidRPr="000D52ED">
        <w:rPr>
          <w:noProof/>
          <w:lang w:val="es-ES_tradnl"/>
        </w:rPr>
        <w:t xml:space="preserve"> </w:t>
      </w:r>
      <w:r w:rsidR="0071176C" w:rsidRPr="000D52ED">
        <w:rPr>
          <w:noProof/>
          <w:lang w:val="es-ES_tradnl"/>
        </w:rPr>
        <w:t>entre</w:t>
      </w:r>
      <w:r w:rsidR="003C44C9" w:rsidRPr="000D52ED">
        <w:rPr>
          <w:noProof/>
          <w:lang w:val="es-ES_tradnl"/>
        </w:rPr>
        <w:t xml:space="preserve"> </w:t>
      </w:r>
      <w:r w:rsidR="0071176C" w:rsidRPr="000D52ED">
        <w:rPr>
          <w:noProof/>
          <w:lang w:val="es-ES_tradnl"/>
        </w:rPr>
        <w:t>l</w:t>
      </w:r>
      <w:r w:rsidR="004D733D" w:rsidRPr="000D52ED">
        <w:rPr>
          <w:noProof/>
          <w:lang w:val="es-ES_tradnl"/>
        </w:rPr>
        <w:t>a</w:t>
      </w:r>
      <w:r w:rsidR="0071176C" w:rsidRPr="000D52ED">
        <w:rPr>
          <w:noProof/>
          <w:lang w:val="es-ES_tradnl"/>
        </w:rPr>
        <w:t>s diferent</w:t>
      </w:r>
      <w:r w:rsidR="003C44C9" w:rsidRPr="000D52ED">
        <w:rPr>
          <w:noProof/>
          <w:lang w:val="es-ES_tradnl"/>
        </w:rPr>
        <w:t xml:space="preserve">es entidades </w:t>
      </w:r>
      <w:r w:rsidR="005B13B2" w:rsidRPr="000D52ED">
        <w:rPr>
          <w:noProof/>
          <w:lang w:val="es-ES_tradnl"/>
        </w:rPr>
        <w:t>cabeza de</w:t>
      </w:r>
      <w:r w:rsidR="003C44C9" w:rsidRPr="000D52ED">
        <w:rPr>
          <w:noProof/>
          <w:lang w:val="es-ES_tradnl"/>
        </w:rPr>
        <w:t xml:space="preserve"> sector </w:t>
      </w:r>
      <w:r w:rsidRPr="000D52ED">
        <w:rPr>
          <w:noProof/>
          <w:lang w:val="es-ES_tradnl"/>
        </w:rPr>
        <w:t>el pro</w:t>
      </w:r>
      <w:r w:rsidR="00094B35" w:rsidRPr="000D52ED">
        <w:rPr>
          <w:noProof/>
          <w:lang w:val="es-ES_tradnl"/>
        </w:rPr>
        <w:t>ceso</w:t>
      </w:r>
      <w:r w:rsidRPr="000D52ED">
        <w:rPr>
          <w:noProof/>
          <w:lang w:val="es-ES_tradnl"/>
        </w:rPr>
        <w:t xml:space="preserve"> de depuración normativa </w:t>
      </w:r>
      <w:r w:rsidR="00ED6F3E" w:rsidRPr="000D52ED">
        <w:rPr>
          <w:noProof/>
          <w:lang w:val="es-ES_tradnl"/>
        </w:rPr>
        <w:t>de los</w:t>
      </w:r>
      <w:r w:rsidR="005B13B2" w:rsidRPr="000D52ED">
        <w:rPr>
          <w:noProof/>
          <w:lang w:val="es-ES_tradnl"/>
        </w:rPr>
        <w:t xml:space="preserve"> </w:t>
      </w:r>
      <w:r w:rsidRPr="000D52ED">
        <w:rPr>
          <w:noProof/>
          <w:lang w:val="es-ES_tradnl"/>
        </w:rPr>
        <w:t>Decreto</w:t>
      </w:r>
      <w:r w:rsidR="005B13B2" w:rsidRPr="000D52ED">
        <w:rPr>
          <w:noProof/>
          <w:lang w:val="es-ES_tradnl"/>
        </w:rPr>
        <w:t>s</w:t>
      </w:r>
      <w:r w:rsidRPr="000D52ED">
        <w:rPr>
          <w:noProof/>
          <w:lang w:val="es-ES_tradnl"/>
        </w:rPr>
        <w:t xml:space="preserve"> Único</w:t>
      </w:r>
      <w:r w:rsidR="005B13B2" w:rsidRPr="000D52ED">
        <w:rPr>
          <w:noProof/>
          <w:lang w:val="es-ES_tradnl"/>
        </w:rPr>
        <w:t>s</w:t>
      </w:r>
      <w:r w:rsidRPr="000D52ED">
        <w:rPr>
          <w:noProof/>
          <w:lang w:val="es-ES_tradnl"/>
        </w:rPr>
        <w:t xml:space="preserve"> Reglamentario</w:t>
      </w:r>
      <w:r w:rsidR="005B13B2" w:rsidRPr="000D52ED">
        <w:rPr>
          <w:noProof/>
          <w:lang w:val="es-ES_tradnl"/>
        </w:rPr>
        <w:t>s</w:t>
      </w:r>
      <w:r w:rsidR="00D348DF" w:rsidRPr="000D52ED">
        <w:rPr>
          <w:noProof/>
          <w:lang w:val="es-ES_tradnl"/>
        </w:rPr>
        <w:t>, esta acción</w:t>
      </w:r>
      <w:r w:rsidR="009F661B" w:rsidRPr="000D52ED">
        <w:rPr>
          <w:noProof/>
          <w:lang w:val="es-ES_tradnl"/>
        </w:rPr>
        <w:t xml:space="preserve"> da cumplimiento</w:t>
      </w:r>
      <w:r w:rsidR="00B118DF" w:rsidRPr="000D52ED">
        <w:rPr>
          <w:noProof/>
          <w:lang w:val="es-ES_tradnl"/>
        </w:rPr>
        <w:t xml:space="preserve"> </w:t>
      </w:r>
      <w:r w:rsidR="009F661B" w:rsidRPr="000D52ED">
        <w:rPr>
          <w:noProof/>
          <w:lang w:val="es-ES_tradnl"/>
        </w:rPr>
        <w:t>a</w:t>
      </w:r>
      <w:r w:rsidR="00E87A5C" w:rsidRPr="000D52ED">
        <w:rPr>
          <w:noProof/>
          <w:lang w:val="es-ES_tradnl"/>
        </w:rPr>
        <w:t xml:space="preserve"> la Ley 1955 de 2019 y la Directiva Presidencial 007 de 2018</w:t>
      </w:r>
      <w:r w:rsidR="005B13B2" w:rsidRPr="000D52ED">
        <w:rPr>
          <w:noProof/>
          <w:lang w:val="es-ES_tradnl"/>
        </w:rPr>
        <w:t>.</w:t>
      </w:r>
    </w:p>
    <w:p w14:paraId="72370DE9" w14:textId="77777777" w:rsidR="00603924" w:rsidRDefault="00603924" w:rsidP="00E16D5F">
      <w:pPr>
        <w:jc w:val="both"/>
        <w:rPr>
          <w:noProof/>
          <w:lang w:val="es-ES_tradnl"/>
        </w:rPr>
      </w:pPr>
    </w:p>
    <w:p w14:paraId="127C2084" w14:textId="58774DC1" w:rsidR="004C7180" w:rsidRDefault="00FA54EE" w:rsidP="00E16D5F">
      <w:pPr>
        <w:jc w:val="both"/>
        <w:rPr>
          <w:noProof/>
          <w:lang w:val="es-ES_tradnl"/>
        </w:rPr>
      </w:pPr>
      <w:r w:rsidRPr="000D52ED">
        <w:rPr>
          <w:noProof/>
          <w:lang w:val="es-ES_tradnl"/>
        </w:rPr>
        <w:t>E</w:t>
      </w:r>
      <w:r w:rsidR="009E6AF6" w:rsidRPr="000D52ED">
        <w:rPr>
          <w:noProof/>
          <w:lang w:val="es-ES_tradnl"/>
        </w:rPr>
        <w:t>l</w:t>
      </w:r>
      <w:r w:rsidR="00D96C6E" w:rsidRPr="000D52ED">
        <w:rPr>
          <w:noProof/>
          <w:lang w:val="es-ES_tradnl"/>
        </w:rPr>
        <w:t xml:space="preserve"> Ministerio</w:t>
      </w:r>
      <w:r w:rsidR="00690C3F" w:rsidRPr="000D52ED">
        <w:rPr>
          <w:noProof/>
          <w:lang w:val="es-ES_tradnl"/>
        </w:rPr>
        <w:t xml:space="preserve"> de Justicia y del Derecho</w:t>
      </w:r>
      <w:r w:rsidRPr="000D52ED">
        <w:rPr>
          <w:noProof/>
          <w:lang w:val="es-ES_tradnl"/>
        </w:rPr>
        <w:t xml:space="preserve"> eligió a</w:t>
      </w:r>
      <w:r w:rsidR="0053542F" w:rsidRPr="000D52ED">
        <w:rPr>
          <w:noProof/>
          <w:lang w:val="es-ES_tradnl"/>
        </w:rPr>
        <w:t>l S</w:t>
      </w:r>
      <w:r w:rsidR="00232C1A" w:rsidRPr="000D52ED">
        <w:rPr>
          <w:noProof/>
          <w:lang w:val="es-ES_tradnl"/>
        </w:rPr>
        <w:t xml:space="preserve">ector de la </w:t>
      </w:r>
      <w:r w:rsidR="00FC6F9C" w:rsidRPr="000D52ED">
        <w:rPr>
          <w:noProof/>
          <w:lang w:val="es-ES_tradnl"/>
        </w:rPr>
        <w:t>I</w:t>
      </w:r>
      <w:r w:rsidR="00232C1A" w:rsidRPr="000D52ED">
        <w:rPr>
          <w:noProof/>
          <w:lang w:val="es-ES_tradnl"/>
        </w:rPr>
        <w:t xml:space="preserve">nclusión </w:t>
      </w:r>
      <w:r w:rsidR="00FC6F9C" w:rsidRPr="000D52ED">
        <w:rPr>
          <w:noProof/>
          <w:lang w:val="es-ES_tradnl"/>
        </w:rPr>
        <w:t>S</w:t>
      </w:r>
      <w:r w:rsidR="00232C1A" w:rsidRPr="000D52ED">
        <w:rPr>
          <w:noProof/>
          <w:lang w:val="es-ES_tradnl"/>
        </w:rPr>
        <w:t xml:space="preserve">ocial y la </w:t>
      </w:r>
      <w:r w:rsidR="00FC6F9C" w:rsidRPr="000D52ED">
        <w:rPr>
          <w:noProof/>
          <w:lang w:val="es-ES_tradnl"/>
        </w:rPr>
        <w:t>R</w:t>
      </w:r>
      <w:r w:rsidR="00232C1A" w:rsidRPr="000D52ED">
        <w:rPr>
          <w:noProof/>
          <w:lang w:val="es-ES_tradnl"/>
        </w:rPr>
        <w:t xml:space="preserve">econciliación </w:t>
      </w:r>
      <w:r w:rsidR="00D15B33" w:rsidRPr="000D52ED">
        <w:rPr>
          <w:noProof/>
          <w:lang w:val="es-ES_tradnl"/>
        </w:rPr>
        <w:t xml:space="preserve">para que </w:t>
      </w:r>
      <w:r w:rsidR="00232C1A" w:rsidRPr="000D52ED">
        <w:rPr>
          <w:noProof/>
          <w:lang w:val="es-ES_tradnl"/>
        </w:rPr>
        <w:t>fuera un</w:t>
      </w:r>
      <w:r w:rsidR="00355D24" w:rsidRPr="000D52ED">
        <w:rPr>
          <w:noProof/>
          <w:lang w:val="es-ES_tradnl"/>
        </w:rPr>
        <w:t>o</w:t>
      </w:r>
      <w:r w:rsidR="00232C1A" w:rsidRPr="000D52ED">
        <w:rPr>
          <w:noProof/>
          <w:lang w:val="es-ES_tradnl"/>
        </w:rPr>
        <w:t xml:space="preserve"> de los sectores piloto</w:t>
      </w:r>
      <w:r w:rsidR="006B4B40" w:rsidRPr="000D52ED">
        <w:rPr>
          <w:noProof/>
          <w:lang w:val="es-ES_tradnl"/>
        </w:rPr>
        <w:t xml:space="preserve"> en </w:t>
      </w:r>
      <w:r w:rsidR="002C412A" w:rsidRPr="000D52ED">
        <w:rPr>
          <w:noProof/>
          <w:lang w:val="es-ES_tradnl"/>
        </w:rPr>
        <w:t xml:space="preserve">los </w:t>
      </w:r>
      <w:r w:rsidR="006B4B40" w:rsidRPr="000D52ED">
        <w:rPr>
          <w:noProof/>
          <w:lang w:val="es-ES_tradnl"/>
        </w:rPr>
        <w:t>proceso</w:t>
      </w:r>
      <w:r w:rsidR="002C412A" w:rsidRPr="000D52ED">
        <w:rPr>
          <w:noProof/>
          <w:lang w:val="es-ES_tradnl"/>
        </w:rPr>
        <w:t>s de depuración</w:t>
      </w:r>
      <w:r w:rsidR="00D15B33" w:rsidRPr="000D52ED">
        <w:rPr>
          <w:noProof/>
          <w:lang w:val="es-ES_tradnl"/>
        </w:rPr>
        <w:t xml:space="preserve"> normativa</w:t>
      </w:r>
      <w:r w:rsidR="0075142E" w:rsidRPr="000D52ED">
        <w:rPr>
          <w:noProof/>
          <w:lang w:val="es-ES_tradnl"/>
        </w:rPr>
        <w:t xml:space="preserve"> de</w:t>
      </w:r>
      <w:r w:rsidR="009C24C6" w:rsidRPr="000D52ED">
        <w:rPr>
          <w:noProof/>
          <w:lang w:val="es-ES_tradnl"/>
        </w:rPr>
        <w:t xml:space="preserve"> su</w:t>
      </w:r>
      <w:r w:rsidR="0075142E" w:rsidRPr="000D52ED">
        <w:rPr>
          <w:noProof/>
          <w:lang w:val="es-ES_tradnl"/>
        </w:rPr>
        <w:t xml:space="preserve"> Decreto Único Reglamentario</w:t>
      </w:r>
      <w:r w:rsidR="00D31044" w:rsidRPr="000D52ED">
        <w:rPr>
          <w:noProof/>
          <w:lang w:val="es-ES_tradnl"/>
        </w:rPr>
        <w:t>,</w:t>
      </w:r>
      <w:r w:rsidR="00BF4E5B" w:rsidRPr="000D52ED">
        <w:rPr>
          <w:noProof/>
          <w:lang w:val="es-ES_tradnl"/>
        </w:rPr>
        <w:t xml:space="preserve"> </w:t>
      </w:r>
      <w:r w:rsidR="00E72D46" w:rsidRPr="000D52ED">
        <w:rPr>
          <w:noProof/>
          <w:lang w:val="es-ES_tradnl"/>
        </w:rPr>
        <w:t>de</w:t>
      </w:r>
      <w:r w:rsidR="007F13DD" w:rsidRPr="000D52ED">
        <w:rPr>
          <w:noProof/>
          <w:lang w:val="es-ES_tradnl"/>
        </w:rPr>
        <w:t xml:space="preserve"> esta</w:t>
      </w:r>
      <w:r w:rsidR="00E72D46" w:rsidRPr="000D52ED">
        <w:rPr>
          <w:noProof/>
          <w:lang w:val="es-ES_tradnl"/>
        </w:rPr>
        <w:t xml:space="preserve"> manera</w:t>
      </w:r>
      <w:r w:rsidR="00F860AF" w:rsidRPr="000D52ED">
        <w:rPr>
          <w:noProof/>
          <w:lang w:val="es-ES_tradnl"/>
        </w:rPr>
        <w:t>,</w:t>
      </w:r>
      <w:r w:rsidR="00E71BE7" w:rsidRPr="000D52ED">
        <w:rPr>
          <w:noProof/>
          <w:lang w:val="es-ES_tradnl"/>
        </w:rPr>
        <w:t xml:space="preserve"> </w:t>
      </w:r>
      <w:r w:rsidR="00690C3F" w:rsidRPr="000D52ED">
        <w:rPr>
          <w:noProof/>
          <w:lang w:val="es-ES_tradnl"/>
        </w:rPr>
        <w:t>procedió</w:t>
      </w:r>
      <w:r w:rsidR="00842669" w:rsidRPr="000D52ED">
        <w:rPr>
          <w:noProof/>
          <w:lang w:val="es-ES_tradnl"/>
        </w:rPr>
        <w:t xml:space="preserve"> la Oficina Asesora Jurídica de Prosperidad Social </w:t>
      </w:r>
      <w:r w:rsidR="0002257E" w:rsidRPr="000D52ED">
        <w:rPr>
          <w:noProof/>
          <w:lang w:val="es-ES_tradnl"/>
        </w:rPr>
        <w:t>en</w:t>
      </w:r>
      <w:r w:rsidR="00842669" w:rsidRPr="000D52ED">
        <w:rPr>
          <w:noProof/>
          <w:lang w:val="es-ES_tradnl"/>
        </w:rPr>
        <w:t xml:space="preserve"> coordin</w:t>
      </w:r>
      <w:r w:rsidR="0002257E" w:rsidRPr="000D52ED">
        <w:rPr>
          <w:noProof/>
          <w:lang w:val="es-ES_tradnl"/>
        </w:rPr>
        <w:t>ación</w:t>
      </w:r>
      <w:r w:rsidR="00842669" w:rsidRPr="000D52ED">
        <w:rPr>
          <w:noProof/>
          <w:lang w:val="es-ES_tradnl"/>
        </w:rPr>
        <w:t xml:space="preserve"> con las Oficinas Asesoras Jurídicas de las entidades adscritas al sector </w:t>
      </w:r>
      <w:r w:rsidR="00CB59D1" w:rsidRPr="000D52ED">
        <w:rPr>
          <w:noProof/>
          <w:lang w:val="es-ES_tradnl"/>
        </w:rPr>
        <w:t xml:space="preserve">a </w:t>
      </w:r>
      <w:r w:rsidR="008B2878" w:rsidRPr="000D52ED">
        <w:rPr>
          <w:noProof/>
          <w:lang w:val="es-ES_tradnl"/>
        </w:rPr>
        <w:t>dar</w:t>
      </w:r>
      <w:r w:rsidR="00690C3F" w:rsidRPr="000D52ED">
        <w:rPr>
          <w:noProof/>
          <w:lang w:val="es-ES_tradnl"/>
        </w:rPr>
        <w:t xml:space="preserve"> </w:t>
      </w:r>
      <w:r w:rsidR="00B70889" w:rsidRPr="000D52ED">
        <w:rPr>
          <w:noProof/>
          <w:lang w:val="es-ES_tradnl"/>
        </w:rPr>
        <w:t xml:space="preserve">aplicación </w:t>
      </w:r>
      <w:r w:rsidR="0002257E" w:rsidRPr="000D52ED">
        <w:rPr>
          <w:noProof/>
          <w:lang w:val="es-ES_tradnl"/>
        </w:rPr>
        <w:t>de</w:t>
      </w:r>
      <w:r w:rsidR="00A15879" w:rsidRPr="000D52ED">
        <w:rPr>
          <w:noProof/>
          <w:lang w:val="es-ES_tradnl"/>
        </w:rPr>
        <w:t xml:space="preserve"> la metodología y</w:t>
      </w:r>
      <w:r w:rsidR="009F661B" w:rsidRPr="000D52ED">
        <w:rPr>
          <w:noProof/>
          <w:lang w:val="es-ES_tradnl"/>
        </w:rPr>
        <w:t xml:space="preserve"> e</w:t>
      </w:r>
      <w:r w:rsidR="00DD4F98" w:rsidRPr="000D52ED">
        <w:rPr>
          <w:noProof/>
          <w:lang w:val="es-ES_tradnl"/>
        </w:rPr>
        <w:t>l</w:t>
      </w:r>
      <w:r w:rsidR="00A15879" w:rsidRPr="000D52ED">
        <w:rPr>
          <w:noProof/>
          <w:lang w:val="es-ES_tradnl"/>
        </w:rPr>
        <w:t xml:space="preserve"> </w:t>
      </w:r>
      <w:r w:rsidR="00B70889" w:rsidRPr="000D52ED">
        <w:rPr>
          <w:noProof/>
          <w:lang w:val="es-ES_tradnl"/>
        </w:rPr>
        <w:t>cumpli</w:t>
      </w:r>
      <w:r w:rsidR="009F661B" w:rsidRPr="000D52ED">
        <w:rPr>
          <w:noProof/>
          <w:lang w:val="es-ES_tradnl"/>
        </w:rPr>
        <w:t>miento</w:t>
      </w:r>
      <w:r w:rsidR="00B70889" w:rsidRPr="000D52ED">
        <w:rPr>
          <w:noProof/>
          <w:lang w:val="es-ES_tradnl"/>
        </w:rPr>
        <w:t xml:space="preserve"> </w:t>
      </w:r>
      <w:r w:rsidR="009F661B" w:rsidRPr="000D52ED">
        <w:rPr>
          <w:noProof/>
          <w:lang w:val="es-ES_tradnl"/>
        </w:rPr>
        <w:t>d</w:t>
      </w:r>
      <w:r w:rsidR="00B70889" w:rsidRPr="000D52ED">
        <w:rPr>
          <w:noProof/>
          <w:lang w:val="es-ES_tradnl"/>
        </w:rPr>
        <w:t>e</w:t>
      </w:r>
      <w:r w:rsidR="00F860AF" w:rsidRPr="000D52ED">
        <w:rPr>
          <w:noProof/>
          <w:lang w:val="es-ES_tradnl"/>
        </w:rPr>
        <w:t xml:space="preserve"> las actividades </w:t>
      </w:r>
      <w:r w:rsidR="00CB59D1" w:rsidRPr="000D52ED">
        <w:rPr>
          <w:noProof/>
          <w:lang w:val="es-ES_tradnl"/>
        </w:rPr>
        <w:t xml:space="preserve">contenidas en </w:t>
      </w:r>
      <w:r w:rsidR="00F860AF" w:rsidRPr="000D52ED">
        <w:rPr>
          <w:noProof/>
          <w:lang w:val="es-ES_tradnl"/>
        </w:rPr>
        <w:t>el</w:t>
      </w:r>
      <w:r w:rsidR="00B70889" w:rsidRPr="000D52ED">
        <w:rPr>
          <w:noProof/>
          <w:lang w:val="es-ES_tradnl"/>
        </w:rPr>
        <w:t xml:space="preserve"> </w:t>
      </w:r>
      <w:r w:rsidR="00A15879" w:rsidRPr="000D52ED">
        <w:rPr>
          <w:noProof/>
          <w:lang w:val="es-ES_tradnl"/>
        </w:rPr>
        <w:t>cronograma</w:t>
      </w:r>
      <w:r w:rsidR="00366DAF" w:rsidRPr="000D52ED">
        <w:rPr>
          <w:noProof/>
          <w:lang w:val="es-ES_tradnl"/>
        </w:rPr>
        <w:t xml:space="preserve">. </w:t>
      </w:r>
      <w:r w:rsidR="00CB59D1" w:rsidRPr="000D52ED">
        <w:rPr>
          <w:noProof/>
          <w:lang w:val="es-ES_tradnl"/>
        </w:rPr>
        <w:t>C</w:t>
      </w:r>
      <w:r w:rsidR="00F5111C" w:rsidRPr="000D52ED">
        <w:rPr>
          <w:noProof/>
          <w:lang w:val="es-ES_tradnl"/>
        </w:rPr>
        <w:t>onform</w:t>
      </w:r>
      <w:r w:rsidR="00CB59D1" w:rsidRPr="000D52ED">
        <w:rPr>
          <w:noProof/>
          <w:lang w:val="es-ES_tradnl"/>
        </w:rPr>
        <w:t>e a</w:t>
      </w:r>
      <w:r w:rsidR="00F72A3E" w:rsidRPr="000D52ED">
        <w:rPr>
          <w:noProof/>
          <w:lang w:val="es-ES_tradnl"/>
        </w:rPr>
        <w:t xml:space="preserve"> lo anterior, y </w:t>
      </w:r>
      <w:r w:rsidR="00EC1C47" w:rsidRPr="000D52ED">
        <w:rPr>
          <w:noProof/>
          <w:lang w:val="es-ES_tradnl"/>
        </w:rPr>
        <w:t xml:space="preserve">el numeral octavo del cronograma </w:t>
      </w:r>
      <w:r w:rsidR="005F3AAA" w:rsidRPr="000D52ED">
        <w:rPr>
          <w:noProof/>
          <w:lang w:val="es-ES_tradnl"/>
        </w:rPr>
        <w:t>se rinde informe</w:t>
      </w:r>
      <w:r w:rsidR="001F5FE2" w:rsidRPr="000D52ED">
        <w:rPr>
          <w:noProof/>
          <w:lang w:val="es-ES_tradnl"/>
        </w:rPr>
        <w:t xml:space="preserve"> </w:t>
      </w:r>
      <w:r w:rsidR="00BE2EC1" w:rsidRPr="000D52ED">
        <w:rPr>
          <w:noProof/>
          <w:lang w:val="es-ES_tradnl"/>
        </w:rPr>
        <w:t>en</w:t>
      </w:r>
      <w:r w:rsidR="00BA08B1" w:rsidRPr="000D52ED">
        <w:rPr>
          <w:noProof/>
          <w:lang w:val="es-ES_tradnl"/>
        </w:rPr>
        <w:t xml:space="preserve"> </w:t>
      </w:r>
      <w:r w:rsidR="004C7180" w:rsidRPr="000D52ED">
        <w:rPr>
          <w:noProof/>
          <w:lang w:val="es-ES_tradnl"/>
        </w:rPr>
        <w:t xml:space="preserve">los siguientes </w:t>
      </w:r>
      <w:r w:rsidR="001F5FE2" w:rsidRPr="000D52ED">
        <w:rPr>
          <w:noProof/>
          <w:lang w:val="es-ES_tradnl"/>
        </w:rPr>
        <w:t>puntos</w:t>
      </w:r>
      <w:r w:rsidR="00BA08B1" w:rsidRPr="000D52ED">
        <w:rPr>
          <w:noProof/>
          <w:lang w:val="es-ES_tradnl"/>
        </w:rPr>
        <w:t>:</w:t>
      </w:r>
      <w:r w:rsidR="00B42420" w:rsidRPr="000D52ED">
        <w:rPr>
          <w:noProof/>
          <w:lang w:val="es-ES_tradnl"/>
        </w:rPr>
        <w:t xml:space="preserve"> </w:t>
      </w:r>
    </w:p>
    <w:p w14:paraId="73EED919" w14:textId="77777777" w:rsidR="00603924" w:rsidRPr="000D52ED" w:rsidRDefault="00603924" w:rsidP="00E16D5F">
      <w:pPr>
        <w:jc w:val="both"/>
        <w:rPr>
          <w:noProof/>
          <w:lang w:val="es-ES_tradnl"/>
        </w:rPr>
      </w:pPr>
    </w:p>
    <w:p w14:paraId="2D87909B" w14:textId="652A1ACE" w:rsidR="004C7180" w:rsidRPr="000D52ED" w:rsidRDefault="00A04A95" w:rsidP="00E16D5F">
      <w:pPr>
        <w:pStyle w:val="Prrafodelista"/>
        <w:numPr>
          <w:ilvl w:val="0"/>
          <w:numId w:val="17"/>
        </w:numPr>
        <w:jc w:val="both"/>
        <w:rPr>
          <w:noProof/>
          <w:lang w:val="es-ES_tradnl"/>
        </w:rPr>
      </w:pPr>
      <w:r w:rsidRPr="000D52ED">
        <w:rPr>
          <w:noProof/>
          <w:lang w:val="es-ES_tradnl"/>
        </w:rPr>
        <w:t>Aplicación de la metodología.</w:t>
      </w:r>
    </w:p>
    <w:p w14:paraId="4E567D2D" w14:textId="560F8005" w:rsidR="00A04A95" w:rsidRPr="000D52ED" w:rsidRDefault="00A04A95" w:rsidP="00E16D5F">
      <w:pPr>
        <w:pStyle w:val="Prrafodelista"/>
        <w:numPr>
          <w:ilvl w:val="0"/>
          <w:numId w:val="17"/>
        </w:numPr>
        <w:jc w:val="both"/>
        <w:rPr>
          <w:noProof/>
          <w:lang w:val="es-ES_tradnl"/>
        </w:rPr>
      </w:pPr>
      <w:r w:rsidRPr="000D52ED">
        <w:rPr>
          <w:noProof/>
          <w:lang w:val="es-ES_tradnl"/>
        </w:rPr>
        <w:t>Cumplimiento de las actividades del cronograma (hasta el punto 8).</w:t>
      </w:r>
    </w:p>
    <w:p w14:paraId="11BFDEF8" w14:textId="06D64538" w:rsidR="00A04A95" w:rsidRPr="000D52ED" w:rsidRDefault="00A04A95" w:rsidP="00E16D5F">
      <w:pPr>
        <w:pStyle w:val="Prrafodelista"/>
        <w:numPr>
          <w:ilvl w:val="0"/>
          <w:numId w:val="17"/>
        </w:numPr>
        <w:jc w:val="both"/>
        <w:rPr>
          <w:noProof/>
          <w:lang w:val="es-ES_tradnl"/>
        </w:rPr>
      </w:pPr>
      <w:r w:rsidRPr="000D52ED">
        <w:rPr>
          <w:noProof/>
          <w:lang w:val="es-ES_tradnl"/>
        </w:rPr>
        <w:t>Balance de normas objeto de depuración.</w:t>
      </w:r>
    </w:p>
    <w:p w14:paraId="04F870DD" w14:textId="0D24A658" w:rsidR="00A04A95" w:rsidRPr="000D52ED" w:rsidRDefault="00A04A95" w:rsidP="00E16D5F">
      <w:pPr>
        <w:pStyle w:val="Prrafodelista"/>
        <w:numPr>
          <w:ilvl w:val="0"/>
          <w:numId w:val="17"/>
        </w:numPr>
        <w:jc w:val="both"/>
        <w:rPr>
          <w:noProof/>
          <w:lang w:val="es-ES_tradnl"/>
        </w:rPr>
      </w:pPr>
      <w:r w:rsidRPr="000D52ED">
        <w:rPr>
          <w:noProof/>
          <w:lang w:val="es-ES_tradnl"/>
        </w:rPr>
        <w:t>Balance de normas objeto de modificación.</w:t>
      </w:r>
    </w:p>
    <w:p w14:paraId="4B71764E" w14:textId="2F4736A3" w:rsidR="00A04A95" w:rsidRPr="000D52ED" w:rsidRDefault="009459CF" w:rsidP="00E16D5F">
      <w:pPr>
        <w:pStyle w:val="Prrafodelista"/>
        <w:numPr>
          <w:ilvl w:val="0"/>
          <w:numId w:val="17"/>
        </w:numPr>
        <w:jc w:val="both"/>
        <w:rPr>
          <w:noProof/>
          <w:lang w:val="es-ES_tradnl"/>
        </w:rPr>
      </w:pPr>
      <w:r w:rsidRPr="000D52ED">
        <w:rPr>
          <w:noProof/>
          <w:lang w:val="es-ES_tradnl"/>
        </w:rPr>
        <w:t>Balance General</w:t>
      </w:r>
      <w:r w:rsidR="00A04A95" w:rsidRPr="000D52ED">
        <w:rPr>
          <w:noProof/>
          <w:lang w:val="es-ES_tradnl"/>
        </w:rPr>
        <w:t>.</w:t>
      </w:r>
    </w:p>
    <w:p w14:paraId="4DE4A392" w14:textId="4505A1AF" w:rsidR="00C6554A" w:rsidRPr="000D52ED" w:rsidRDefault="00A04A95" w:rsidP="00E16D5F">
      <w:pPr>
        <w:pStyle w:val="Ttulo2"/>
        <w:numPr>
          <w:ilvl w:val="0"/>
          <w:numId w:val="18"/>
        </w:numPr>
        <w:jc w:val="both"/>
        <w:rPr>
          <w:noProof/>
          <w:lang w:val="es-ES_tradnl"/>
        </w:rPr>
      </w:pPr>
      <w:r w:rsidRPr="000D52ED">
        <w:rPr>
          <w:noProof/>
          <w:lang w:val="es-ES_tradnl"/>
        </w:rPr>
        <w:t>Aplicación de la metodologia</w:t>
      </w:r>
      <w:r w:rsidR="00B935BE" w:rsidRPr="000D52ED">
        <w:rPr>
          <w:noProof/>
          <w:lang w:val="es-ES_tradnl"/>
        </w:rPr>
        <w:t>:</w:t>
      </w:r>
    </w:p>
    <w:p w14:paraId="314CFA5F" w14:textId="77777777" w:rsidR="00603924" w:rsidRDefault="00603924" w:rsidP="00E16D5F">
      <w:pPr>
        <w:jc w:val="both"/>
        <w:rPr>
          <w:noProof/>
          <w:lang w:val="es-ES_tradnl"/>
        </w:rPr>
      </w:pPr>
    </w:p>
    <w:p w14:paraId="523222FF" w14:textId="2D0B9B2E" w:rsidR="00403F1D" w:rsidRPr="000D52ED" w:rsidRDefault="00EC4FA4" w:rsidP="00E16D5F">
      <w:pPr>
        <w:jc w:val="both"/>
        <w:rPr>
          <w:noProof/>
          <w:lang w:val="es-ES_tradnl"/>
        </w:rPr>
      </w:pPr>
      <w:r w:rsidRPr="000D52ED">
        <w:rPr>
          <w:noProof/>
          <w:lang w:val="es-ES_tradnl"/>
        </w:rPr>
        <w:t>L</w:t>
      </w:r>
      <w:r w:rsidR="00403F1D" w:rsidRPr="000D52ED">
        <w:rPr>
          <w:noProof/>
          <w:lang w:val="es-ES_tradnl"/>
        </w:rPr>
        <w:t>a metodologia</w:t>
      </w:r>
      <w:r w:rsidR="00D13D3A" w:rsidRPr="000D52ED">
        <w:rPr>
          <w:noProof/>
          <w:lang w:val="es-ES_tradnl"/>
        </w:rPr>
        <w:t xml:space="preserve"> de depuración normativa </w:t>
      </w:r>
      <w:r w:rsidR="001F3478" w:rsidRPr="000D52ED">
        <w:rPr>
          <w:noProof/>
          <w:lang w:val="es-ES_tradnl"/>
        </w:rPr>
        <w:t xml:space="preserve">emitida por </w:t>
      </w:r>
      <w:r w:rsidR="00E04701" w:rsidRPr="000D52ED">
        <w:rPr>
          <w:noProof/>
          <w:lang w:val="es-ES_tradnl"/>
        </w:rPr>
        <w:t>la Dirección de Desarrollo del Derecho y del Ordenamiento Juridic</w:t>
      </w:r>
      <w:r w:rsidR="00AC5CDD" w:rsidRPr="000D52ED">
        <w:rPr>
          <w:noProof/>
          <w:lang w:val="es-ES_tradnl"/>
        </w:rPr>
        <w:t>o</w:t>
      </w:r>
      <w:r w:rsidR="00E04701" w:rsidRPr="000D52ED">
        <w:rPr>
          <w:noProof/>
          <w:lang w:val="es-ES_tradnl"/>
        </w:rPr>
        <w:t xml:space="preserve"> </w:t>
      </w:r>
      <w:r w:rsidR="0009328E" w:rsidRPr="000D52ED">
        <w:rPr>
          <w:noProof/>
          <w:lang w:val="es-ES_tradnl"/>
        </w:rPr>
        <w:t>definio</w:t>
      </w:r>
      <w:r w:rsidR="00E04701" w:rsidRPr="000D52ED">
        <w:rPr>
          <w:noProof/>
          <w:lang w:val="es-ES_tradnl"/>
        </w:rPr>
        <w:t xml:space="preserve"> </w:t>
      </w:r>
      <w:r w:rsidR="00403F1D" w:rsidRPr="000D52ED">
        <w:rPr>
          <w:noProof/>
          <w:lang w:val="es-ES_tradnl"/>
        </w:rPr>
        <w:t>los criterios de depuración</w:t>
      </w:r>
      <w:r w:rsidR="00FE6F47" w:rsidRPr="000D52ED">
        <w:rPr>
          <w:noProof/>
          <w:lang w:val="es-ES_tradnl"/>
        </w:rPr>
        <w:t xml:space="preserve"> </w:t>
      </w:r>
      <w:r w:rsidR="00805323" w:rsidRPr="000D52ED">
        <w:rPr>
          <w:noProof/>
          <w:lang w:val="es-ES_tradnl"/>
        </w:rPr>
        <w:t>normativa</w:t>
      </w:r>
      <w:r w:rsidR="00980793" w:rsidRPr="000D52ED">
        <w:rPr>
          <w:noProof/>
          <w:lang w:val="es-ES_tradnl"/>
        </w:rPr>
        <w:t xml:space="preserve"> </w:t>
      </w:r>
      <w:r w:rsidR="00DC02DE" w:rsidRPr="000D52ED">
        <w:rPr>
          <w:noProof/>
          <w:lang w:val="es-ES_tradnl"/>
        </w:rPr>
        <w:t>de</w:t>
      </w:r>
      <w:r w:rsidR="00403F1D" w:rsidRPr="000D52ED">
        <w:rPr>
          <w:noProof/>
          <w:lang w:val="es-ES_tradnl"/>
        </w:rPr>
        <w:t>:</w:t>
      </w:r>
      <w:r w:rsidR="00B42420" w:rsidRPr="000D52ED">
        <w:rPr>
          <w:noProof/>
          <w:lang w:val="es-ES_tradnl"/>
        </w:rPr>
        <w:t xml:space="preserve"> </w:t>
      </w:r>
      <w:r w:rsidR="00D57083" w:rsidRPr="000D52ED">
        <w:rPr>
          <w:noProof/>
          <w:lang w:val="es-ES_tradnl"/>
        </w:rPr>
        <w:t>(i)O</w:t>
      </w:r>
      <w:r w:rsidR="00403F1D" w:rsidRPr="000D52ED">
        <w:rPr>
          <w:noProof/>
          <w:lang w:val="es-ES_tradnl"/>
        </w:rPr>
        <w:t xml:space="preserve">bsolescencia, </w:t>
      </w:r>
      <w:r w:rsidR="00D57083" w:rsidRPr="000D52ED">
        <w:rPr>
          <w:noProof/>
          <w:lang w:val="es-ES_tradnl"/>
        </w:rPr>
        <w:t>(ii)D</w:t>
      </w:r>
      <w:r w:rsidR="00403F1D" w:rsidRPr="000D52ED">
        <w:rPr>
          <w:noProof/>
          <w:lang w:val="es-ES_tradnl"/>
        </w:rPr>
        <w:t xml:space="preserve">uplicidad normativa, </w:t>
      </w:r>
      <w:r w:rsidR="00D57083" w:rsidRPr="000D52ED">
        <w:rPr>
          <w:noProof/>
          <w:lang w:val="es-ES_tradnl"/>
        </w:rPr>
        <w:t>(iii)P</w:t>
      </w:r>
      <w:r w:rsidR="00403F1D" w:rsidRPr="000D52ED">
        <w:rPr>
          <w:noProof/>
          <w:lang w:val="es-ES_tradnl"/>
        </w:rPr>
        <w:t>or cumplimiento del objeto de la norma,</w:t>
      </w:r>
      <w:r w:rsidR="000A1260" w:rsidRPr="000D52ED">
        <w:rPr>
          <w:noProof/>
          <w:lang w:val="es-ES_tradnl"/>
        </w:rPr>
        <w:t xml:space="preserve"> </w:t>
      </w:r>
      <w:r w:rsidR="00D57083" w:rsidRPr="000D52ED">
        <w:rPr>
          <w:noProof/>
          <w:lang w:val="es-ES_tradnl"/>
        </w:rPr>
        <w:t>(i</w:t>
      </w:r>
      <w:r w:rsidR="000A1260" w:rsidRPr="000D52ED">
        <w:rPr>
          <w:noProof/>
          <w:lang w:val="es-ES_tradnl"/>
        </w:rPr>
        <w:t>v)P</w:t>
      </w:r>
      <w:r w:rsidR="00403F1D" w:rsidRPr="000D52ED">
        <w:rPr>
          <w:noProof/>
          <w:lang w:val="es-ES_tradnl"/>
        </w:rPr>
        <w:t>or agotamiento del plazo definido en las dispo</w:t>
      </w:r>
      <w:r w:rsidR="00CA558D" w:rsidRPr="000D52ED">
        <w:rPr>
          <w:noProof/>
          <w:lang w:val="es-ES_tradnl"/>
        </w:rPr>
        <w:t>s</w:t>
      </w:r>
      <w:r w:rsidR="00403F1D" w:rsidRPr="000D52ED">
        <w:rPr>
          <w:noProof/>
          <w:lang w:val="es-ES_tradnl"/>
        </w:rPr>
        <w:t>i</w:t>
      </w:r>
      <w:r w:rsidR="00CA558D" w:rsidRPr="000D52ED">
        <w:rPr>
          <w:noProof/>
          <w:lang w:val="es-ES_tradnl"/>
        </w:rPr>
        <w:t>c</w:t>
      </w:r>
      <w:r w:rsidR="00403F1D" w:rsidRPr="000D52ED">
        <w:rPr>
          <w:noProof/>
          <w:lang w:val="es-ES_tradnl"/>
        </w:rPr>
        <w:t>iones o por ser transitoria,</w:t>
      </w:r>
      <w:r w:rsidR="000A1260" w:rsidRPr="000D52ED">
        <w:rPr>
          <w:noProof/>
          <w:lang w:val="es-ES_tradnl"/>
        </w:rPr>
        <w:t xml:space="preserve"> (v)</w:t>
      </w:r>
      <w:r w:rsidR="00403F1D" w:rsidRPr="000D52ED">
        <w:rPr>
          <w:noProof/>
          <w:lang w:val="es-ES_tradnl"/>
        </w:rPr>
        <w:t xml:space="preserve"> </w:t>
      </w:r>
      <w:r w:rsidR="000A1260" w:rsidRPr="000D52ED">
        <w:rPr>
          <w:noProof/>
          <w:lang w:val="es-ES_tradnl"/>
        </w:rPr>
        <w:t>P</w:t>
      </w:r>
      <w:r w:rsidR="00403F1D" w:rsidRPr="000D52ED">
        <w:rPr>
          <w:noProof/>
          <w:lang w:val="es-ES_tradnl"/>
        </w:rPr>
        <w:t>or decaimiento (desaparición</w:t>
      </w:r>
      <w:r w:rsidR="00B42420" w:rsidRPr="000D52ED">
        <w:rPr>
          <w:noProof/>
          <w:lang w:val="es-ES_tradnl"/>
        </w:rPr>
        <w:t xml:space="preserve"> </w:t>
      </w:r>
      <w:r w:rsidR="00403F1D" w:rsidRPr="000D52ED">
        <w:rPr>
          <w:noProof/>
          <w:lang w:val="es-ES_tradnl"/>
        </w:rPr>
        <w:t xml:space="preserve">de las dispocisiones que dan fundamento juridico </w:t>
      </w:r>
      <w:r w:rsidR="00D57083" w:rsidRPr="000D52ED">
        <w:rPr>
          <w:noProof/>
          <w:lang w:val="es-ES_tradnl"/>
        </w:rPr>
        <w:t>para la existencia normativa)</w:t>
      </w:r>
      <w:r w:rsidR="00FE6F47" w:rsidRPr="000D52ED">
        <w:rPr>
          <w:noProof/>
          <w:lang w:val="es-ES_tradnl"/>
        </w:rPr>
        <w:t>.</w:t>
      </w:r>
      <w:r w:rsidR="008F38C1" w:rsidRPr="000D52ED">
        <w:rPr>
          <w:noProof/>
          <w:lang w:val="es-ES_tradnl"/>
        </w:rPr>
        <w:t xml:space="preserve"> </w:t>
      </w:r>
      <w:r w:rsidR="00656A32" w:rsidRPr="000D52ED">
        <w:rPr>
          <w:noProof/>
          <w:lang w:val="es-ES_tradnl"/>
        </w:rPr>
        <w:t xml:space="preserve">Esta </w:t>
      </w:r>
      <w:r w:rsidR="009F0D35" w:rsidRPr="000D52ED">
        <w:rPr>
          <w:noProof/>
          <w:lang w:val="es-ES_tradnl"/>
        </w:rPr>
        <w:t xml:space="preserve">metodologia </w:t>
      </w:r>
      <w:r w:rsidR="008F38C1" w:rsidRPr="000D52ED">
        <w:rPr>
          <w:noProof/>
          <w:lang w:val="es-ES_tradnl"/>
        </w:rPr>
        <w:t>fue</w:t>
      </w:r>
      <w:r w:rsidR="000A1260" w:rsidRPr="000D52ED">
        <w:rPr>
          <w:noProof/>
          <w:lang w:val="es-ES_tradnl"/>
        </w:rPr>
        <w:t xml:space="preserve"> socializ</w:t>
      </w:r>
      <w:r w:rsidR="000C164F" w:rsidRPr="000D52ED">
        <w:rPr>
          <w:noProof/>
          <w:lang w:val="es-ES_tradnl"/>
        </w:rPr>
        <w:t>ada</w:t>
      </w:r>
      <w:r w:rsidR="000A1260" w:rsidRPr="000D52ED">
        <w:rPr>
          <w:noProof/>
          <w:lang w:val="es-ES_tradnl"/>
        </w:rPr>
        <w:t xml:space="preserve"> </w:t>
      </w:r>
      <w:r w:rsidR="0084097E" w:rsidRPr="000D52ED">
        <w:rPr>
          <w:noProof/>
          <w:lang w:val="es-ES_tradnl"/>
        </w:rPr>
        <w:t>al equipo de profesionales encargados de</w:t>
      </w:r>
      <w:r w:rsidR="00E40EEF" w:rsidRPr="000D52ED">
        <w:rPr>
          <w:noProof/>
          <w:lang w:val="es-ES_tradnl"/>
        </w:rPr>
        <w:t xml:space="preserve"> </w:t>
      </w:r>
      <w:r w:rsidR="00632C59" w:rsidRPr="000D52ED">
        <w:rPr>
          <w:noProof/>
          <w:lang w:val="es-ES_tradnl"/>
        </w:rPr>
        <w:t xml:space="preserve">aplicar </w:t>
      </w:r>
      <w:r w:rsidR="00CA4CC4" w:rsidRPr="000D52ED">
        <w:rPr>
          <w:noProof/>
          <w:lang w:val="es-ES_tradnl"/>
        </w:rPr>
        <w:lastRenderedPageBreak/>
        <w:t>los criterios en el</w:t>
      </w:r>
      <w:r w:rsidR="00CA68AA" w:rsidRPr="000D52ED">
        <w:rPr>
          <w:noProof/>
          <w:lang w:val="es-ES_tradnl"/>
        </w:rPr>
        <w:t xml:space="preserve"> proceso de depuración de</w:t>
      </w:r>
      <w:r w:rsidR="00B64410" w:rsidRPr="000D52ED">
        <w:rPr>
          <w:noProof/>
          <w:lang w:val="es-ES_tradnl"/>
        </w:rPr>
        <w:t>l Decreto Unico Reglamentario</w:t>
      </w:r>
      <w:r w:rsidR="00FE6F47" w:rsidRPr="000D52ED">
        <w:rPr>
          <w:noProof/>
          <w:lang w:val="es-ES_tradnl"/>
        </w:rPr>
        <w:t xml:space="preserve"> y el </w:t>
      </w:r>
      <w:r w:rsidR="00F36D19" w:rsidRPr="000D52ED">
        <w:rPr>
          <w:noProof/>
          <w:lang w:val="es-ES_tradnl"/>
        </w:rPr>
        <w:t xml:space="preserve">resultado </w:t>
      </w:r>
      <w:r w:rsidR="00FE6F47" w:rsidRPr="000D52ED">
        <w:rPr>
          <w:noProof/>
          <w:lang w:val="es-ES_tradnl"/>
        </w:rPr>
        <w:t xml:space="preserve">de la aplicación </w:t>
      </w:r>
      <w:r w:rsidR="00F36D19" w:rsidRPr="000D52ED">
        <w:rPr>
          <w:noProof/>
          <w:lang w:val="es-ES_tradnl"/>
        </w:rPr>
        <w:t>se</w:t>
      </w:r>
      <w:r w:rsidR="00FE6F47" w:rsidRPr="000D52ED">
        <w:rPr>
          <w:noProof/>
          <w:lang w:val="es-ES_tradnl"/>
        </w:rPr>
        <w:t xml:space="preserve"> podr</w:t>
      </w:r>
      <w:r w:rsidR="008E3B46">
        <w:rPr>
          <w:noProof/>
          <w:lang w:val="es-ES_tradnl"/>
        </w:rPr>
        <w:t>á</w:t>
      </w:r>
      <w:r w:rsidR="00FE6F47" w:rsidRPr="000D52ED">
        <w:rPr>
          <w:noProof/>
          <w:lang w:val="es-ES_tradnl"/>
        </w:rPr>
        <w:t xml:space="preserve"> observar en lineas posteriores.</w:t>
      </w:r>
      <w:r w:rsidR="00B42420" w:rsidRPr="000D52ED">
        <w:rPr>
          <w:noProof/>
          <w:lang w:val="es-ES_tradnl"/>
        </w:rPr>
        <w:t xml:space="preserve"> </w:t>
      </w:r>
    </w:p>
    <w:p w14:paraId="7CE6413B" w14:textId="77777777" w:rsidR="00B32979" w:rsidRPr="000D52ED" w:rsidRDefault="00A04A95" w:rsidP="00E16D5F">
      <w:pPr>
        <w:pStyle w:val="Ttulo2"/>
        <w:numPr>
          <w:ilvl w:val="0"/>
          <w:numId w:val="18"/>
        </w:numPr>
        <w:jc w:val="both"/>
        <w:rPr>
          <w:noProof/>
          <w:lang w:val="es-ES_tradnl"/>
        </w:rPr>
      </w:pPr>
      <w:r w:rsidRPr="000D52ED">
        <w:rPr>
          <w:noProof/>
          <w:lang w:val="es-ES_tradnl"/>
        </w:rPr>
        <w:t xml:space="preserve">Cumplimiento de las actividades del cronograma </w:t>
      </w:r>
    </w:p>
    <w:p w14:paraId="4D47808C" w14:textId="7C181534" w:rsidR="00A04A95" w:rsidRPr="000D52ED" w:rsidRDefault="00A04A95" w:rsidP="008E3B46">
      <w:pPr>
        <w:pStyle w:val="Ttulo2"/>
        <w:ind w:left="720"/>
        <w:jc w:val="both"/>
        <w:rPr>
          <w:noProof/>
          <w:lang w:val="es-ES_tradnl"/>
        </w:rPr>
      </w:pPr>
      <w:r w:rsidRPr="000D52ED">
        <w:rPr>
          <w:noProof/>
          <w:lang w:val="es-ES_tradnl"/>
        </w:rPr>
        <w:t>(hasta el punto</w:t>
      </w:r>
      <w:r w:rsidR="003532FD" w:rsidRPr="000D52ED">
        <w:rPr>
          <w:noProof/>
          <w:lang w:val="es-ES_tradnl"/>
        </w:rPr>
        <w:t xml:space="preserve"> OCHO</w:t>
      </w:r>
      <w:r w:rsidRPr="000D52ED">
        <w:rPr>
          <w:noProof/>
          <w:lang w:val="es-ES_tradnl"/>
        </w:rPr>
        <w:t>)</w:t>
      </w:r>
      <w:r w:rsidR="008E3B46">
        <w:rPr>
          <w:noProof/>
          <w:lang w:val="es-ES_tradnl"/>
        </w:rPr>
        <w:t>.</w:t>
      </w:r>
    </w:p>
    <w:p w14:paraId="051E6593" w14:textId="77777777" w:rsidR="00603924" w:rsidRDefault="00603924" w:rsidP="00E16D5F">
      <w:pPr>
        <w:jc w:val="both"/>
        <w:rPr>
          <w:noProof/>
          <w:lang w:val="es-ES_tradnl"/>
        </w:rPr>
      </w:pPr>
    </w:p>
    <w:p w14:paraId="7C28A9A0" w14:textId="7A2B7384" w:rsidR="00E34DD0" w:rsidRDefault="00F15625" w:rsidP="00E16D5F">
      <w:pPr>
        <w:jc w:val="both"/>
        <w:rPr>
          <w:noProof/>
          <w:lang w:val="es-ES_tradnl"/>
        </w:rPr>
      </w:pPr>
      <w:r w:rsidRPr="000D52ED">
        <w:rPr>
          <w:noProof/>
          <w:lang w:val="es-ES_tradnl"/>
        </w:rPr>
        <w:t xml:space="preserve">En </w:t>
      </w:r>
      <w:r w:rsidR="00BA20FD" w:rsidRPr="000D52ED">
        <w:rPr>
          <w:noProof/>
          <w:lang w:val="es-ES_tradnl"/>
        </w:rPr>
        <w:t>la</w:t>
      </w:r>
      <w:r w:rsidR="00A12181" w:rsidRPr="000D52ED">
        <w:rPr>
          <w:noProof/>
          <w:lang w:val="es-ES_tradnl"/>
        </w:rPr>
        <w:t xml:space="preserve"> ejecución </w:t>
      </w:r>
      <w:r w:rsidR="00E34DD0" w:rsidRPr="000D52ED">
        <w:rPr>
          <w:noProof/>
          <w:lang w:val="es-ES_tradnl"/>
        </w:rPr>
        <w:t xml:space="preserve">de las actividades </w:t>
      </w:r>
      <w:r w:rsidR="00FE6F47" w:rsidRPr="000D52ED">
        <w:rPr>
          <w:noProof/>
          <w:lang w:val="es-ES_tradnl"/>
        </w:rPr>
        <w:t>d</w:t>
      </w:r>
      <w:r w:rsidR="00770568" w:rsidRPr="000D52ED">
        <w:rPr>
          <w:noProof/>
          <w:lang w:val="es-ES_tradnl"/>
        </w:rPr>
        <w:t xml:space="preserve">el </w:t>
      </w:r>
      <w:r w:rsidR="00E34DD0" w:rsidRPr="000D52ED">
        <w:rPr>
          <w:noProof/>
          <w:lang w:val="es-ES_tradnl"/>
        </w:rPr>
        <w:t>c</w:t>
      </w:r>
      <w:r w:rsidR="00AC2808" w:rsidRPr="000D52ED">
        <w:rPr>
          <w:noProof/>
          <w:lang w:val="es-ES_tradnl"/>
        </w:rPr>
        <w:t>ronograma</w:t>
      </w:r>
      <w:r w:rsidR="00FE6F47" w:rsidRPr="000D52ED">
        <w:rPr>
          <w:noProof/>
          <w:lang w:val="es-ES_tradnl"/>
        </w:rPr>
        <w:t xml:space="preserve"> propuesto</w:t>
      </w:r>
      <w:r w:rsidR="00E73CD0" w:rsidRPr="000D52ED">
        <w:rPr>
          <w:noProof/>
          <w:lang w:val="es-ES_tradnl"/>
        </w:rPr>
        <w:t xml:space="preserve">, se </w:t>
      </w:r>
      <w:r w:rsidR="00FE6F47" w:rsidRPr="000D52ED">
        <w:rPr>
          <w:noProof/>
          <w:lang w:val="es-ES_tradnl"/>
        </w:rPr>
        <w:t>dio</w:t>
      </w:r>
      <w:r w:rsidR="00E73CD0" w:rsidRPr="000D52ED">
        <w:rPr>
          <w:noProof/>
          <w:lang w:val="es-ES_tradnl"/>
        </w:rPr>
        <w:t xml:space="preserve"> cumpli</w:t>
      </w:r>
      <w:r w:rsidR="005D2F97" w:rsidRPr="000D52ED">
        <w:rPr>
          <w:noProof/>
          <w:lang w:val="es-ES_tradnl"/>
        </w:rPr>
        <w:t>miento</w:t>
      </w:r>
      <w:r w:rsidR="00040170" w:rsidRPr="000D52ED">
        <w:rPr>
          <w:noProof/>
          <w:lang w:val="es-ES_tradnl"/>
        </w:rPr>
        <w:t xml:space="preserve"> hasta el punto</w:t>
      </w:r>
      <w:r w:rsidR="005333ED" w:rsidRPr="000D52ED">
        <w:rPr>
          <w:noProof/>
          <w:lang w:val="es-ES_tradnl"/>
        </w:rPr>
        <w:t xml:space="preserve"> ocho</w:t>
      </w:r>
      <w:r w:rsidR="00040170" w:rsidRPr="000D52ED">
        <w:rPr>
          <w:noProof/>
          <w:lang w:val="es-ES_tradnl"/>
        </w:rPr>
        <w:t xml:space="preserve"> </w:t>
      </w:r>
      <w:r w:rsidR="005333ED" w:rsidRPr="000D52ED">
        <w:rPr>
          <w:noProof/>
          <w:lang w:val="es-ES_tradnl"/>
        </w:rPr>
        <w:t>(</w:t>
      </w:r>
      <w:r w:rsidR="00040170" w:rsidRPr="000D52ED">
        <w:rPr>
          <w:noProof/>
          <w:lang w:val="es-ES_tradnl"/>
        </w:rPr>
        <w:t>8</w:t>
      </w:r>
      <w:r w:rsidR="005333ED" w:rsidRPr="000D52ED">
        <w:rPr>
          <w:noProof/>
          <w:lang w:val="es-ES_tradnl"/>
        </w:rPr>
        <w:t>)</w:t>
      </w:r>
      <w:r w:rsidR="00A12181" w:rsidRPr="000D52ED">
        <w:rPr>
          <w:noProof/>
          <w:lang w:val="es-ES_tradnl"/>
        </w:rPr>
        <w:t>,</w:t>
      </w:r>
      <w:r w:rsidR="00B42420" w:rsidRPr="000D52ED">
        <w:rPr>
          <w:noProof/>
          <w:lang w:val="es-ES_tradnl"/>
        </w:rPr>
        <w:t xml:space="preserve"> </w:t>
      </w:r>
      <w:r w:rsidR="00FE6F47" w:rsidRPr="000D52ED">
        <w:rPr>
          <w:noProof/>
          <w:lang w:val="es-ES_tradnl"/>
        </w:rPr>
        <w:t>en los siguientes términos:</w:t>
      </w:r>
    </w:p>
    <w:p w14:paraId="6FFB9B37" w14:textId="77777777" w:rsidR="00603924" w:rsidRPr="000D52ED" w:rsidRDefault="00603924" w:rsidP="00E16D5F">
      <w:pPr>
        <w:jc w:val="both"/>
        <w:rPr>
          <w:noProof/>
          <w:lang w:val="es-ES_tradnl"/>
        </w:rPr>
      </w:pPr>
    </w:p>
    <w:tbl>
      <w:tblPr>
        <w:tblW w:w="7445" w:type="dxa"/>
        <w:jc w:val="center"/>
        <w:tblCellMar>
          <w:left w:w="70" w:type="dxa"/>
          <w:right w:w="70" w:type="dxa"/>
        </w:tblCellMar>
        <w:tblLook w:val="04A0" w:firstRow="1" w:lastRow="0" w:firstColumn="1" w:lastColumn="0" w:noHBand="0" w:noVBand="1"/>
      </w:tblPr>
      <w:tblGrid>
        <w:gridCol w:w="375"/>
        <w:gridCol w:w="3958"/>
        <w:gridCol w:w="1450"/>
        <w:gridCol w:w="1809"/>
      </w:tblGrid>
      <w:tr w:rsidR="00DC6FF0" w:rsidRPr="00CA558D" w14:paraId="6AA6DD4F" w14:textId="77777777" w:rsidTr="00DD5ADF">
        <w:trPr>
          <w:trHeight w:val="239"/>
          <w:jc w:val="center"/>
        </w:trPr>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6FE3" w14:textId="6E33F48F" w:rsidR="00DC6FF0" w:rsidRPr="000D52ED" w:rsidRDefault="00B32979" w:rsidP="00DD5ADF">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No.</w:t>
            </w:r>
          </w:p>
        </w:tc>
        <w:tc>
          <w:tcPr>
            <w:tcW w:w="3958" w:type="dxa"/>
            <w:tcBorders>
              <w:top w:val="single" w:sz="4" w:space="0" w:color="auto"/>
              <w:left w:val="nil"/>
              <w:bottom w:val="single" w:sz="4" w:space="0" w:color="auto"/>
              <w:right w:val="single" w:sz="4" w:space="0" w:color="auto"/>
            </w:tcBorders>
            <w:shd w:val="clear" w:color="auto" w:fill="auto"/>
            <w:noWrap/>
            <w:vAlign w:val="center"/>
            <w:hideMark/>
          </w:tcPr>
          <w:p w14:paraId="226F4144" w14:textId="77777777" w:rsidR="00DC6FF0" w:rsidRPr="000D52ED" w:rsidRDefault="00DC6FF0" w:rsidP="00DD5ADF">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Actividad:</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1279377" w14:textId="77777777" w:rsidR="00DC6FF0" w:rsidRPr="000D52ED" w:rsidRDefault="00DC6FF0" w:rsidP="00DD5ADF">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Informe de cumplimiento: </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0650F3D5" w14:textId="32B172D4" w:rsidR="00DC6FF0" w:rsidRPr="000D52ED" w:rsidRDefault="00DC6FF0" w:rsidP="00DD5ADF">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Fecha</w:t>
            </w:r>
            <w:r w:rsidR="00305D13" w:rsidRPr="000D52ED">
              <w:rPr>
                <w:rFonts w:ascii="Calibri" w:hAnsi="Calibri" w:cs="Calibri"/>
                <w:b/>
                <w:bCs/>
                <w:noProof/>
                <w:color w:val="000000"/>
                <w:sz w:val="16"/>
                <w:szCs w:val="16"/>
                <w:lang w:val="es-ES_tradnl" w:eastAsia="es-CO"/>
              </w:rPr>
              <w:t xml:space="preserve"> de cumplimiento</w:t>
            </w:r>
            <w:r w:rsidRPr="000D52ED">
              <w:rPr>
                <w:rFonts w:ascii="Calibri" w:hAnsi="Calibri" w:cs="Calibri"/>
                <w:b/>
                <w:bCs/>
                <w:noProof/>
                <w:color w:val="000000"/>
                <w:sz w:val="16"/>
                <w:szCs w:val="16"/>
                <w:lang w:val="es-ES_tradnl" w:eastAsia="es-CO"/>
              </w:rPr>
              <w:t>:</w:t>
            </w:r>
          </w:p>
        </w:tc>
      </w:tr>
      <w:tr w:rsidR="00DC6FF0" w:rsidRPr="00CA558D" w14:paraId="43018928" w14:textId="77777777" w:rsidTr="00DD5ADF">
        <w:trPr>
          <w:trHeight w:val="155"/>
          <w:jc w:val="center"/>
        </w:trPr>
        <w:tc>
          <w:tcPr>
            <w:tcW w:w="228" w:type="dxa"/>
            <w:tcBorders>
              <w:top w:val="nil"/>
              <w:left w:val="single" w:sz="4" w:space="0" w:color="auto"/>
              <w:bottom w:val="single" w:sz="4" w:space="0" w:color="auto"/>
              <w:right w:val="single" w:sz="4" w:space="0" w:color="auto"/>
            </w:tcBorders>
            <w:shd w:val="clear" w:color="auto" w:fill="auto"/>
            <w:noWrap/>
            <w:vAlign w:val="bottom"/>
            <w:hideMark/>
          </w:tcPr>
          <w:p w14:paraId="1E8522FA"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1</w:t>
            </w:r>
          </w:p>
        </w:tc>
        <w:tc>
          <w:tcPr>
            <w:tcW w:w="3958" w:type="dxa"/>
            <w:tcBorders>
              <w:top w:val="nil"/>
              <w:left w:val="nil"/>
              <w:bottom w:val="single" w:sz="4" w:space="0" w:color="auto"/>
              <w:right w:val="single" w:sz="4" w:space="0" w:color="auto"/>
            </w:tcBorders>
            <w:shd w:val="clear" w:color="auto" w:fill="auto"/>
            <w:vAlign w:val="bottom"/>
            <w:hideMark/>
          </w:tcPr>
          <w:p w14:paraId="749B8D49" w14:textId="57CC399E"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Reunión del equipo coordinador de la DDDOJ con lo</w:t>
            </w:r>
            <w:r w:rsidR="000E2560" w:rsidRPr="000D52ED">
              <w:rPr>
                <w:rFonts w:ascii="Calibri" w:hAnsi="Calibri" w:cs="Calibri"/>
                <w:noProof/>
                <w:color w:val="000000"/>
                <w:sz w:val="16"/>
                <w:szCs w:val="16"/>
                <w:lang w:val="es-ES_tradnl" w:eastAsia="es-CO"/>
              </w:rPr>
              <w:t>s</w:t>
            </w:r>
            <w:r w:rsidRPr="000D52ED">
              <w:rPr>
                <w:rFonts w:ascii="Calibri" w:hAnsi="Calibri" w:cs="Calibri"/>
                <w:noProof/>
                <w:color w:val="000000"/>
                <w:sz w:val="16"/>
                <w:szCs w:val="16"/>
                <w:lang w:val="es-ES_tradnl" w:eastAsia="es-CO"/>
              </w:rPr>
              <w:t xml:space="preserve"> Directores </w:t>
            </w:r>
            <w:r w:rsidR="000E2560" w:rsidRPr="000D52ED">
              <w:rPr>
                <w:rFonts w:ascii="Calibri" w:hAnsi="Calibri" w:cs="Calibri"/>
                <w:noProof/>
                <w:color w:val="000000"/>
                <w:sz w:val="16"/>
                <w:szCs w:val="16"/>
                <w:lang w:val="es-ES_tradnl" w:eastAsia="es-CO"/>
              </w:rPr>
              <w:t>Jurídicos</w:t>
            </w:r>
            <w:r w:rsidRPr="000D52ED">
              <w:rPr>
                <w:rFonts w:ascii="Calibri" w:hAnsi="Calibri" w:cs="Calibri"/>
                <w:noProof/>
                <w:color w:val="000000"/>
                <w:sz w:val="16"/>
                <w:szCs w:val="16"/>
                <w:lang w:val="es-ES_tradnl" w:eastAsia="es-CO"/>
              </w:rPr>
              <w:t xml:space="preserve"> o </w:t>
            </w:r>
            <w:r w:rsidR="000E2560" w:rsidRPr="000D52ED">
              <w:rPr>
                <w:rFonts w:ascii="Calibri" w:hAnsi="Calibri" w:cs="Calibri"/>
                <w:noProof/>
                <w:color w:val="000000"/>
                <w:sz w:val="16"/>
                <w:szCs w:val="16"/>
                <w:lang w:val="es-ES_tradnl" w:eastAsia="es-CO"/>
              </w:rPr>
              <w:t>jefes</w:t>
            </w:r>
            <w:r w:rsidRPr="000D52ED">
              <w:rPr>
                <w:rFonts w:ascii="Calibri" w:hAnsi="Calibri" w:cs="Calibri"/>
                <w:noProof/>
                <w:color w:val="000000"/>
                <w:sz w:val="16"/>
                <w:szCs w:val="16"/>
                <w:lang w:val="es-ES_tradnl" w:eastAsia="es-CO"/>
              </w:rPr>
              <w:t xml:space="preserve"> de las Oficinas </w:t>
            </w:r>
            <w:r w:rsidR="000E2560" w:rsidRPr="000D52ED">
              <w:rPr>
                <w:rFonts w:ascii="Calibri" w:hAnsi="Calibri" w:cs="Calibri"/>
                <w:noProof/>
                <w:color w:val="000000"/>
                <w:sz w:val="16"/>
                <w:szCs w:val="16"/>
                <w:lang w:val="es-ES_tradnl" w:eastAsia="es-CO"/>
              </w:rPr>
              <w:t>Jurídicas</w:t>
            </w:r>
            <w:r w:rsidRPr="000D52ED">
              <w:rPr>
                <w:rFonts w:ascii="Calibri" w:hAnsi="Calibri" w:cs="Calibri"/>
                <w:noProof/>
                <w:color w:val="000000"/>
                <w:sz w:val="16"/>
                <w:szCs w:val="16"/>
                <w:lang w:val="es-ES_tradnl" w:eastAsia="es-CO"/>
              </w:rPr>
              <w:t xml:space="preserve"> de la cabeza de sector</w:t>
            </w:r>
          </w:p>
        </w:tc>
        <w:tc>
          <w:tcPr>
            <w:tcW w:w="1450" w:type="dxa"/>
            <w:tcBorders>
              <w:top w:val="nil"/>
              <w:left w:val="nil"/>
              <w:bottom w:val="single" w:sz="4" w:space="0" w:color="auto"/>
              <w:right w:val="single" w:sz="4" w:space="0" w:color="auto"/>
            </w:tcBorders>
            <w:shd w:val="clear" w:color="auto" w:fill="auto"/>
            <w:noWrap/>
            <w:vAlign w:val="bottom"/>
            <w:hideMark/>
          </w:tcPr>
          <w:p w14:paraId="0E8819C4" w14:textId="4180F8AA" w:rsidR="00DC6FF0" w:rsidRPr="000D52ED" w:rsidRDefault="00EF4CFE"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C</w:t>
            </w:r>
            <w:r w:rsidR="00DC6FF0" w:rsidRPr="000D52ED">
              <w:rPr>
                <w:rFonts w:ascii="Calibri" w:hAnsi="Calibri" w:cs="Calibri"/>
                <w:noProof/>
                <w:color w:val="000000"/>
                <w:sz w:val="16"/>
                <w:szCs w:val="16"/>
                <w:lang w:val="es-ES_tradnl" w:eastAsia="es-CO"/>
              </w:rPr>
              <w:t>umple con la actividad</w:t>
            </w:r>
          </w:p>
        </w:tc>
        <w:tc>
          <w:tcPr>
            <w:tcW w:w="1809" w:type="dxa"/>
            <w:tcBorders>
              <w:top w:val="nil"/>
              <w:left w:val="nil"/>
              <w:bottom w:val="single" w:sz="4" w:space="0" w:color="auto"/>
              <w:right w:val="single" w:sz="4" w:space="0" w:color="auto"/>
            </w:tcBorders>
            <w:shd w:val="clear" w:color="auto" w:fill="auto"/>
            <w:noWrap/>
            <w:vAlign w:val="bottom"/>
            <w:hideMark/>
          </w:tcPr>
          <w:p w14:paraId="16512B94"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02 de septiembre de 2020</w:t>
            </w:r>
          </w:p>
        </w:tc>
      </w:tr>
      <w:tr w:rsidR="00DC6FF0" w:rsidRPr="00CA558D" w14:paraId="0F9A506C" w14:textId="77777777" w:rsidTr="00DD5ADF">
        <w:trPr>
          <w:trHeight w:val="398"/>
          <w:jc w:val="center"/>
        </w:trPr>
        <w:tc>
          <w:tcPr>
            <w:tcW w:w="228" w:type="dxa"/>
            <w:tcBorders>
              <w:top w:val="nil"/>
              <w:left w:val="single" w:sz="4" w:space="0" w:color="auto"/>
              <w:bottom w:val="single" w:sz="4" w:space="0" w:color="auto"/>
              <w:right w:val="single" w:sz="4" w:space="0" w:color="auto"/>
            </w:tcBorders>
            <w:shd w:val="clear" w:color="auto" w:fill="auto"/>
            <w:noWrap/>
            <w:vAlign w:val="bottom"/>
            <w:hideMark/>
          </w:tcPr>
          <w:p w14:paraId="2CF7ACCF"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2</w:t>
            </w:r>
          </w:p>
        </w:tc>
        <w:tc>
          <w:tcPr>
            <w:tcW w:w="3958" w:type="dxa"/>
            <w:tcBorders>
              <w:top w:val="nil"/>
              <w:left w:val="nil"/>
              <w:bottom w:val="single" w:sz="4" w:space="0" w:color="auto"/>
              <w:right w:val="single" w:sz="4" w:space="0" w:color="auto"/>
            </w:tcBorders>
            <w:shd w:val="clear" w:color="auto" w:fill="auto"/>
            <w:vAlign w:val="bottom"/>
            <w:hideMark/>
          </w:tcPr>
          <w:p w14:paraId="34AD3C8B" w14:textId="21766EF4"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El </w:t>
            </w:r>
            <w:r w:rsidR="000E2560" w:rsidRPr="000D52ED">
              <w:rPr>
                <w:rFonts w:ascii="Calibri" w:hAnsi="Calibri" w:cs="Calibri"/>
                <w:noProof/>
                <w:color w:val="000000"/>
                <w:sz w:val="16"/>
                <w:szCs w:val="16"/>
                <w:lang w:val="es-ES_tradnl" w:eastAsia="es-CO"/>
              </w:rPr>
              <w:t>director</w:t>
            </w:r>
            <w:r w:rsidRPr="000D52ED">
              <w:rPr>
                <w:rFonts w:ascii="Calibri" w:hAnsi="Calibri" w:cs="Calibri"/>
                <w:noProof/>
                <w:color w:val="000000"/>
                <w:sz w:val="16"/>
                <w:szCs w:val="16"/>
                <w:lang w:val="es-ES_tradnl" w:eastAsia="es-CO"/>
              </w:rPr>
              <w:t xml:space="preserve"> </w:t>
            </w:r>
            <w:r w:rsidR="000E2560" w:rsidRPr="000D52ED">
              <w:rPr>
                <w:rFonts w:ascii="Calibri" w:hAnsi="Calibri" w:cs="Calibri"/>
                <w:noProof/>
                <w:color w:val="000000"/>
                <w:sz w:val="16"/>
                <w:szCs w:val="16"/>
                <w:lang w:val="es-ES_tradnl" w:eastAsia="es-CO"/>
              </w:rPr>
              <w:t>Jurídico</w:t>
            </w:r>
            <w:r w:rsidRPr="000D52ED">
              <w:rPr>
                <w:rFonts w:ascii="Calibri" w:hAnsi="Calibri" w:cs="Calibri"/>
                <w:noProof/>
                <w:color w:val="000000"/>
                <w:sz w:val="16"/>
                <w:szCs w:val="16"/>
                <w:lang w:val="es-ES_tradnl" w:eastAsia="es-CO"/>
              </w:rPr>
              <w:t xml:space="preserve"> o </w:t>
            </w:r>
            <w:r w:rsidR="000E2560" w:rsidRPr="000D52ED">
              <w:rPr>
                <w:rFonts w:ascii="Calibri" w:hAnsi="Calibri" w:cs="Calibri"/>
                <w:noProof/>
                <w:color w:val="000000"/>
                <w:sz w:val="16"/>
                <w:szCs w:val="16"/>
                <w:lang w:val="es-ES_tradnl" w:eastAsia="es-CO"/>
              </w:rPr>
              <w:t>jefes</w:t>
            </w:r>
            <w:r w:rsidRPr="000D52ED">
              <w:rPr>
                <w:rFonts w:ascii="Calibri" w:hAnsi="Calibri" w:cs="Calibri"/>
                <w:noProof/>
                <w:color w:val="000000"/>
                <w:sz w:val="16"/>
                <w:szCs w:val="16"/>
                <w:lang w:val="es-ES_tradnl" w:eastAsia="es-CO"/>
              </w:rPr>
              <w:t xml:space="preserve"> de las Oficinas </w:t>
            </w:r>
            <w:r w:rsidR="000E2560" w:rsidRPr="000D52ED">
              <w:rPr>
                <w:rFonts w:ascii="Calibri" w:hAnsi="Calibri" w:cs="Calibri"/>
                <w:noProof/>
                <w:color w:val="000000"/>
                <w:sz w:val="16"/>
                <w:szCs w:val="16"/>
                <w:lang w:val="es-ES_tradnl" w:eastAsia="es-CO"/>
              </w:rPr>
              <w:t>Jurídica</w:t>
            </w:r>
            <w:r w:rsidRPr="000D52ED">
              <w:rPr>
                <w:rFonts w:ascii="Calibri" w:hAnsi="Calibri" w:cs="Calibri"/>
                <w:noProof/>
                <w:color w:val="000000"/>
                <w:sz w:val="16"/>
                <w:szCs w:val="16"/>
                <w:lang w:val="es-ES_tradnl" w:eastAsia="es-CO"/>
              </w:rPr>
              <w:t xml:space="preserve"> del Sector designarán un </w:t>
            </w:r>
            <w:r w:rsidR="000E2560" w:rsidRPr="000D52ED">
              <w:rPr>
                <w:rFonts w:ascii="Calibri" w:hAnsi="Calibri" w:cs="Calibri"/>
                <w:noProof/>
                <w:color w:val="000000"/>
                <w:sz w:val="16"/>
                <w:szCs w:val="16"/>
                <w:lang w:val="es-ES_tradnl" w:eastAsia="es-CO"/>
              </w:rPr>
              <w:t>líder</w:t>
            </w:r>
            <w:r w:rsidRPr="000D52ED">
              <w:rPr>
                <w:rFonts w:ascii="Calibri" w:hAnsi="Calibri" w:cs="Calibri"/>
                <w:noProof/>
                <w:color w:val="000000"/>
                <w:sz w:val="16"/>
                <w:szCs w:val="16"/>
                <w:lang w:val="es-ES_tradnl" w:eastAsia="es-CO"/>
              </w:rPr>
              <w:t xml:space="preserve"> del proceso dentro de la Entidad, para hacer la primera revisión del DUR </w:t>
            </w:r>
          </w:p>
        </w:tc>
        <w:tc>
          <w:tcPr>
            <w:tcW w:w="1450" w:type="dxa"/>
            <w:tcBorders>
              <w:top w:val="nil"/>
              <w:left w:val="nil"/>
              <w:bottom w:val="single" w:sz="4" w:space="0" w:color="auto"/>
              <w:right w:val="single" w:sz="4" w:space="0" w:color="auto"/>
            </w:tcBorders>
            <w:shd w:val="clear" w:color="auto" w:fill="auto"/>
            <w:noWrap/>
            <w:vAlign w:val="bottom"/>
            <w:hideMark/>
          </w:tcPr>
          <w:p w14:paraId="74F874F0" w14:textId="583C04E4" w:rsidR="00DC6FF0" w:rsidRPr="000D52ED" w:rsidRDefault="00EF4CFE"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Cumple con la actividad</w:t>
            </w:r>
          </w:p>
        </w:tc>
        <w:tc>
          <w:tcPr>
            <w:tcW w:w="1809" w:type="dxa"/>
            <w:tcBorders>
              <w:top w:val="nil"/>
              <w:left w:val="nil"/>
              <w:bottom w:val="single" w:sz="4" w:space="0" w:color="auto"/>
              <w:right w:val="single" w:sz="4" w:space="0" w:color="auto"/>
            </w:tcBorders>
            <w:shd w:val="clear" w:color="auto" w:fill="auto"/>
            <w:noWrap/>
            <w:vAlign w:val="bottom"/>
            <w:hideMark/>
          </w:tcPr>
          <w:p w14:paraId="7AAB1039"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10 de septiembre de 2020</w:t>
            </w:r>
          </w:p>
        </w:tc>
      </w:tr>
      <w:tr w:rsidR="00DC6FF0" w:rsidRPr="00CA558D" w14:paraId="0C177B2F" w14:textId="77777777" w:rsidTr="00DD5ADF">
        <w:trPr>
          <w:trHeight w:val="679"/>
          <w:jc w:val="center"/>
        </w:trPr>
        <w:tc>
          <w:tcPr>
            <w:tcW w:w="228" w:type="dxa"/>
            <w:tcBorders>
              <w:top w:val="nil"/>
              <w:left w:val="single" w:sz="4" w:space="0" w:color="auto"/>
              <w:bottom w:val="single" w:sz="4" w:space="0" w:color="auto"/>
              <w:right w:val="single" w:sz="4" w:space="0" w:color="auto"/>
            </w:tcBorders>
            <w:shd w:val="clear" w:color="auto" w:fill="auto"/>
            <w:noWrap/>
            <w:vAlign w:val="bottom"/>
            <w:hideMark/>
          </w:tcPr>
          <w:p w14:paraId="2E0C0080"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3</w:t>
            </w:r>
          </w:p>
        </w:tc>
        <w:tc>
          <w:tcPr>
            <w:tcW w:w="3958" w:type="dxa"/>
            <w:tcBorders>
              <w:top w:val="nil"/>
              <w:left w:val="nil"/>
              <w:bottom w:val="single" w:sz="4" w:space="0" w:color="auto"/>
              <w:right w:val="single" w:sz="4" w:space="0" w:color="auto"/>
            </w:tcBorders>
            <w:shd w:val="clear" w:color="auto" w:fill="auto"/>
            <w:vAlign w:val="bottom"/>
            <w:hideMark/>
          </w:tcPr>
          <w:p w14:paraId="1D7BE9FF" w14:textId="390FA227" w:rsidR="00DC6FF0" w:rsidRPr="000D52ED" w:rsidRDefault="00DC6FF0" w:rsidP="00DD5ADF">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Reunión del equipo coordinador de la DDDOJ con los </w:t>
            </w:r>
            <w:r w:rsidR="000E2560" w:rsidRPr="000D52ED">
              <w:rPr>
                <w:rFonts w:ascii="Calibri" w:hAnsi="Calibri" w:cs="Calibri"/>
                <w:noProof/>
                <w:color w:val="000000"/>
                <w:sz w:val="16"/>
                <w:szCs w:val="16"/>
                <w:lang w:val="es-ES_tradnl" w:eastAsia="es-CO"/>
              </w:rPr>
              <w:t>directores</w:t>
            </w:r>
            <w:r w:rsidRPr="000D52ED">
              <w:rPr>
                <w:rFonts w:ascii="Calibri" w:hAnsi="Calibri" w:cs="Calibri"/>
                <w:noProof/>
                <w:color w:val="000000"/>
                <w:sz w:val="16"/>
                <w:szCs w:val="16"/>
                <w:lang w:val="es-ES_tradnl" w:eastAsia="es-CO"/>
              </w:rPr>
              <w:t xml:space="preserve"> </w:t>
            </w:r>
            <w:r w:rsidR="000E2560" w:rsidRPr="000D52ED">
              <w:rPr>
                <w:rFonts w:ascii="Calibri" w:hAnsi="Calibri" w:cs="Calibri"/>
                <w:noProof/>
                <w:color w:val="000000"/>
                <w:sz w:val="16"/>
                <w:szCs w:val="16"/>
                <w:lang w:val="es-ES_tradnl" w:eastAsia="es-CO"/>
              </w:rPr>
              <w:t>Jurídicos</w:t>
            </w:r>
            <w:r w:rsidRPr="000D52ED">
              <w:rPr>
                <w:rFonts w:ascii="Calibri" w:hAnsi="Calibri" w:cs="Calibri"/>
                <w:noProof/>
                <w:color w:val="000000"/>
                <w:sz w:val="16"/>
                <w:szCs w:val="16"/>
                <w:lang w:val="es-ES_tradnl" w:eastAsia="es-CO"/>
              </w:rPr>
              <w:t xml:space="preserve">, </w:t>
            </w:r>
            <w:r w:rsidR="000E2560" w:rsidRPr="000D52ED">
              <w:rPr>
                <w:rFonts w:ascii="Calibri" w:hAnsi="Calibri" w:cs="Calibri"/>
                <w:noProof/>
                <w:color w:val="000000"/>
                <w:sz w:val="16"/>
                <w:szCs w:val="16"/>
                <w:lang w:val="es-ES_tradnl" w:eastAsia="es-CO"/>
              </w:rPr>
              <w:t>jefes</w:t>
            </w:r>
            <w:r w:rsidRPr="000D52ED">
              <w:rPr>
                <w:rFonts w:ascii="Calibri" w:hAnsi="Calibri" w:cs="Calibri"/>
                <w:noProof/>
                <w:color w:val="000000"/>
                <w:sz w:val="16"/>
                <w:szCs w:val="16"/>
                <w:lang w:val="es-ES_tradnl" w:eastAsia="es-CO"/>
              </w:rPr>
              <w:t xml:space="preserve"> de la Oficina Asesora </w:t>
            </w:r>
            <w:r w:rsidR="000E2560" w:rsidRPr="000D52ED">
              <w:rPr>
                <w:rFonts w:ascii="Calibri" w:hAnsi="Calibri" w:cs="Calibri"/>
                <w:noProof/>
                <w:color w:val="000000"/>
                <w:sz w:val="16"/>
                <w:szCs w:val="16"/>
                <w:lang w:val="es-ES_tradnl" w:eastAsia="es-CO"/>
              </w:rPr>
              <w:t>Jurídica</w:t>
            </w:r>
            <w:r w:rsidRPr="000D52ED">
              <w:rPr>
                <w:rFonts w:ascii="Calibri" w:hAnsi="Calibri" w:cs="Calibri"/>
                <w:noProof/>
                <w:color w:val="000000"/>
                <w:sz w:val="16"/>
                <w:szCs w:val="16"/>
                <w:lang w:val="es-ES_tradnl" w:eastAsia="es-CO"/>
              </w:rPr>
              <w:t xml:space="preserve"> de la cabeza del Sector, </w:t>
            </w:r>
            <w:r w:rsidR="000E2560" w:rsidRPr="000D52ED">
              <w:rPr>
                <w:rFonts w:ascii="Calibri" w:hAnsi="Calibri" w:cs="Calibri"/>
                <w:noProof/>
                <w:color w:val="000000"/>
                <w:sz w:val="16"/>
                <w:szCs w:val="16"/>
                <w:lang w:val="es-ES_tradnl" w:eastAsia="es-CO"/>
              </w:rPr>
              <w:t>líderes</w:t>
            </w:r>
            <w:r w:rsidRPr="000D52ED">
              <w:rPr>
                <w:rFonts w:ascii="Calibri" w:hAnsi="Calibri" w:cs="Calibri"/>
                <w:noProof/>
                <w:color w:val="000000"/>
                <w:sz w:val="16"/>
                <w:szCs w:val="16"/>
                <w:lang w:val="es-ES_tradnl" w:eastAsia="es-CO"/>
              </w:rPr>
              <w:t xml:space="preserve"> del proceso y </w:t>
            </w:r>
            <w:r w:rsidR="000E2560" w:rsidRPr="000D52ED">
              <w:rPr>
                <w:rFonts w:ascii="Calibri" w:hAnsi="Calibri" w:cs="Calibri"/>
                <w:noProof/>
                <w:color w:val="000000"/>
                <w:sz w:val="16"/>
                <w:szCs w:val="16"/>
                <w:lang w:val="es-ES_tradnl" w:eastAsia="es-CO"/>
              </w:rPr>
              <w:t>jefes</w:t>
            </w:r>
            <w:r w:rsidRPr="000D52ED">
              <w:rPr>
                <w:rFonts w:ascii="Calibri" w:hAnsi="Calibri" w:cs="Calibri"/>
                <w:noProof/>
                <w:color w:val="000000"/>
                <w:sz w:val="16"/>
                <w:szCs w:val="16"/>
                <w:lang w:val="es-ES_tradnl" w:eastAsia="es-CO"/>
              </w:rPr>
              <w:t xml:space="preserve"> de las Oficinas Asesoras </w:t>
            </w:r>
            <w:r w:rsidR="000E2560" w:rsidRPr="000D52ED">
              <w:rPr>
                <w:rFonts w:ascii="Calibri" w:hAnsi="Calibri" w:cs="Calibri"/>
                <w:noProof/>
                <w:color w:val="000000"/>
                <w:sz w:val="16"/>
                <w:szCs w:val="16"/>
                <w:lang w:val="es-ES_tradnl" w:eastAsia="es-CO"/>
              </w:rPr>
              <w:t>Jurídicas</w:t>
            </w:r>
            <w:r w:rsidRPr="000D52ED">
              <w:rPr>
                <w:rFonts w:ascii="Calibri" w:hAnsi="Calibri" w:cs="Calibri"/>
                <w:noProof/>
                <w:color w:val="000000"/>
                <w:sz w:val="16"/>
                <w:szCs w:val="16"/>
                <w:lang w:val="es-ES_tradnl" w:eastAsia="es-CO"/>
              </w:rPr>
              <w:t xml:space="preserve"> Entidades Adscritas y Vinculadas</w:t>
            </w:r>
          </w:p>
        </w:tc>
        <w:tc>
          <w:tcPr>
            <w:tcW w:w="1450" w:type="dxa"/>
            <w:tcBorders>
              <w:top w:val="nil"/>
              <w:left w:val="nil"/>
              <w:bottom w:val="single" w:sz="4" w:space="0" w:color="auto"/>
              <w:right w:val="single" w:sz="4" w:space="0" w:color="auto"/>
            </w:tcBorders>
            <w:shd w:val="clear" w:color="auto" w:fill="auto"/>
            <w:noWrap/>
            <w:vAlign w:val="bottom"/>
            <w:hideMark/>
          </w:tcPr>
          <w:p w14:paraId="35CC97A8" w14:textId="0764AF9E" w:rsidR="00DC6FF0" w:rsidRPr="000D52ED" w:rsidRDefault="00EF4CFE"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Cumple con la actividad</w:t>
            </w:r>
          </w:p>
        </w:tc>
        <w:tc>
          <w:tcPr>
            <w:tcW w:w="1809" w:type="dxa"/>
            <w:tcBorders>
              <w:top w:val="nil"/>
              <w:left w:val="nil"/>
              <w:bottom w:val="single" w:sz="4" w:space="0" w:color="auto"/>
              <w:right w:val="single" w:sz="4" w:space="0" w:color="auto"/>
            </w:tcBorders>
            <w:shd w:val="clear" w:color="auto" w:fill="auto"/>
            <w:noWrap/>
            <w:vAlign w:val="bottom"/>
            <w:hideMark/>
          </w:tcPr>
          <w:p w14:paraId="04E2CE78"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02 de octubre de 2020</w:t>
            </w:r>
          </w:p>
        </w:tc>
      </w:tr>
      <w:tr w:rsidR="00DC6FF0" w:rsidRPr="00CA558D" w14:paraId="72A628C7" w14:textId="77777777" w:rsidTr="00DD5ADF">
        <w:trPr>
          <w:trHeight w:val="192"/>
          <w:jc w:val="center"/>
        </w:trPr>
        <w:tc>
          <w:tcPr>
            <w:tcW w:w="228" w:type="dxa"/>
            <w:tcBorders>
              <w:top w:val="nil"/>
              <w:left w:val="single" w:sz="4" w:space="0" w:color="auto"/>
              <w:bottom w:val="single" w:sz="4" w:space="0" w:color="auto"/>
              <w:right w:val="single" w:sz="4" w:space="0" w:color="auto"/>
            </w:tcBorders>
            <w:shd w:val="clear" w:color="auto" w:fill="auto"/>
            <w:noWrap/>
            <w:vAlign w:val="bottom"/>
            <w:hideMark/>
          </w:tcPr>
          <w:p w14:paraId="7BDD6647"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4</w:t>
            </w:r>
          </w:p>
        </w:tc>
        <w:tc>
          <w:tcPr>
            <w:tcW w:w="3958" w:type="dxa"/>
            <w:tcBorders>
              <w:top w:val="nil"/>
              <w:left w:val="nil"/>
              <w:bottom w:val="single" w:sz="4" w:space="0" w:color="auto"/>
              <w:right w:val="single" w:sz="4" w:space="0" w:color="auto"/>
            </w:tcBorders>
            <w:shd w:val="clear" w:color="auto" w:fill="auto"/>
            <w:vAlign w:val="bottom"/>
            <w:hideMark/>
          </w:tcPr>
          <w:p w14:paraId="77A9B870" w14:textId="683387B6"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Directores </w:t>
            </w:r>
            <w:r w:rsidR="000E2560" w:rsidRPr="000D52ED">
              <w:rPr>
                <w:rFonts w:ascii="Calibri" w:hAnsi="Calibri" w:cs="Calibri"/>
                <w:noProof/>
                <w:color w:val="000000"/>
                <w:sz w:val="16"/>
                <w:szCs w:val="16"/>
                <w:lang w:val="es-ES_tradnl" w:eastAsia="es-CO"/>
              </w:rPr>
              <w:t>Jurídicos</w:t>
            </w:r>
            <w:r w:rsidRPr="000D52ED">
              <w:rPr>
                <w:rFonts w:ascii="Calibri" w:hAnsi="Calibri" w:cs="Calibri"/>
                <w:noProof/>
                <w:color w:val="000000"/>
                <w:sz w:val="16"/>
                <w:szCs w:val="16"/>
                <w:lang w:val="es-ES_tradnl" w:eastAsia="es-CO"/>
              </w:rPr>
              <w:t xml:space="preserve">, Jefes de Oficina Asesora </w:t>
            </w:r>
            <w:r w:rsidR="000E2560" w:rsidRPr="000D52ED">
              <w:rPr>
                <w:rFonts w:ascii="Calibri" w:hAnsi="Calibri" w:cs="Calibri"/>
                <w:noProof/>
                <w:color w:val="000000"/>
                <w:sz w:val="16"/>
                <w:szCs w:val="16"/>
                <w:lang w:val="es-ES_tradnl" w:eastAsia="es-CO"/>
              </w:rPr>
              <w:t>Jurídica</w:t>
            </w:r>
            <w:r w:rsidRPr="000D52ED">
              <w:rPr>
                <w:rFonts w:ascii="Calibri" w:hAnsi="Calibri" w:cs="Calibri"/>
                <w:noProof/>
                <w:color w:val="000000"/>
                <w:sz w:val="16"/>
                <w:szCs w:val="16"/>
                <w:lang w:val="es-ES_tradnl" w:eastAsia="es-CO"/>
              </w:rPr>
              <w:t xml:space="preserve"> cabeza del sector y los jefes de cada oficina </w:t>
            </w:r>
            <w:r w:rsidR="000E2560" w:rsidRPr="000D52ED">
              <w:rPr>
                <w:rFonts w:ascii="Calibri" w:hAnsi="Calibri" w:cs="Calibri"/>
                <w:noProof/>
                <w:color w:val="000000"/>
                <w:sz w:val="16"/>
                <w:szCs w:val="16"/>
                <w:lang w:val="es-ES_tradnl" w:eastAsia="es-CO"/>
              </w:rPr>
              <w:t>jurídica</w:t>
            </w:r>
            <w:r w:rsidRPr="000D52ED">
              <w:rPr>
                <w:rFonts w:ascii="Calibri" w:hAnsi="Calibri" w:cs="Calibri"/>
                <w:noProof/>
                <w:color w:val="000000"/>
                <w:sz w:val="16"/>
                <w:szCs w:val="16"/>
                <w:lang w:val="es-ES_tradnl" w:eastAsia="es-CO"/>
              </w:rPr>
              <w:t xml:space="preserve"> conformarán un equipo de abogados y </w:t>
            </w:r>
            <w:r w:rsidR="000E2560" w:rsidRPr="000D52ED">
              <w:rPr>
                <w:rFonts w:ascii="Calibri" w:hAnsi="Calibri" w:cs="Calibri"/>
                <w:noProof/>
                <w:color w:val="000000"/>
                <w:sz w:val="16"/>
                <w:szCs w:val="16"/>
                <w:lang w:val="es-ES_tradnl" w:eastAsia="es-CO"/>
              </w:rPr>
              <w:t>técnicos</w:t>
            </w:r>
            <w:r w:rsidRPr="000D52ED">
              <w:rPr>
                <w:rFonts w:ascii="Calibri" w:hAnsi="Calibri" w:cs="Calibri"/>
                <w:noProof/>
                <w:color w:val="000000"/>
                <w:sz w:val="16"/>
                <w:szCs w:val="16"/>
                <w:lang w:val="es-ES_tradnl" w:eastAsia="es-CO"/>
              </w:rPr>
              <w:t xml:space="preserve"> quienes iniciarán el desarrollo del proceso de depuración.</w:t>
            </w:r>
          </w:p>
        </w:tc>
        <w:tc>
          <w:tcPr>
            <w:tcW w:w="1450" w:type="dxa"/>
            <w:tcBorders>
              <w:top w:val="nil"/>
              <w:left w:val="nil"/>
              <w:bottom w:val="single" w:sz="4" w:space="0" w:color="auto"/>
              <w:right w:val="single" w:sz="4" w:space="0" w:color="auto"/>
            </w:tcBorders>
            <w:shd w:val="clear" w:color="auto" w:fill="auto"/>
            <w:noWrap/>
            <w:vAlign w:val="bottom"/>
            <w:hideMark/>
          </w:tcPr>
          <w:p w14:paraId="45158A43" w14:textId="10E015D2" w:rsidR="00DC6FF0" w:rsidRPr="000D52ED" w:rsidRDefault="00EF4CFE"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Cumple con la actividad</w:t>
            </w:r>
          </w:p>
        </w:tc>
        <w:tc>
          <w:tcPr>
            <w:tcW w:w="1809" w:type="dxa"/>
            <w:tcBorders>
              <w:top w:val="nil"/>
              <w:left w:val="nil"/>
              <w:bottom w:val="single" w:sz="4" w:space="0" w:color="auto"/>
              <w:right w:val="single" w:sz="4" w:space="0" w:color="auto"/>
            </w:tcBorders>
            <w:shd w:val="clear" w:color="auto" w:fill="auto"/>
            <w:noWrap/>
            <w:vAlign w:val="bottom"/>
            <w:hideMark/>
          </w:tcPr>
          <w:p w14:paraId="666603A1"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04 de noviembre de 2020</w:t>
            </w:r>
          </w:p>
        </w:tc>
      </w:tr>
      <w:tr w:rsidR="00DC6FF0" w:rsidRPr="00CA558D" w14:paraId="07863795" w14:textId="77777777" w:rsidTr="00DD5ADF">
        <w:trPr>
          <w:trHeight w:val="167"/>
          <w:jc w:val="center"/>
        </w:trPr>
        <w:tc>
          <w:tcPr>
            <w:tcW w:w="228" w:type="dxa"/>
            <w:tcBorders>
              <w:top w:val="nil"/>
              <w:left w:val="single" w:sz="4" w:space="0" w:color="auto"/>
              <w:bottom w:val="single" w:sz="4" w:space="0" w:color="auto"/>
              <w:right w:val="single" w:sz="4" w:space="0" w:color="auto"/>
            </w:tcBorders>
            <w:shd w:val="clear" w:color="auto" w:fill="auto"/>
            <w:noWrap/>
            <w:vAlign w:val="bottom"/>
            <w:hideMark/>
          </w:tcPr>
          <w:p w14:paraId="6B774CB5"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5</w:t>
            </w:r>
          </w:p>
        </w:tc>
        <w:tc>
          <w:tcPr>
            <w:tcW w:w="3958" w:type="dxa"/>
            <w:tcBorders>
              <w:top w:val="nil"/>
              <w:left w:val="nil"/>
              <w:bottom w:val="single" w:sz="4" w:space="0" w:color="auto"/>
              <w:right w:val="single" w:sz="4" w:space="0" w:color="auto"/>
            </w:tcBorders>
            <w:shd w:val="clear" w:color="auto" w:fill="auto"/>
            <w:vAlign w:val="bottom"/>
            <w:hideMark/>
          </w:tcPr>
          <w:p w14:paraId="5AC6A3AE"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Consulta publica </w:t>
            </w:r>
          </w:p>
        </w:tc>
        <w:tc>
          <w:tcPr>
            <w:tcW w:w="1450" w:type="dxa"/>
            <w:tcBorders>
              <w:top w:val="nil"/>
              <w:left w:val="nil"/>
              <w:bottom w:val="single" w:sz="4" w:space="0" w:color="auto"/>
              <w:right w:val="single" w:sz="4" w:space="0" w:color="auto"/>
            </w:tcBorders>
            <w:shd w:val="clear" w:color="auto" w:fill="auto"/>
            <w:noWrap/>
            <w:vAlign w:val="bottom"/>
            <w:hideMark/>
          </w:tcPr>
          <w:p w14:paraId="118221A8" w14:textId="61AD7C86" w:rsidR="00DC6FF0" w:rsidRPr="000D52ED" w:rsidRDefault="00EF4CFE"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Cumple con la actividad</w:t>
            </w:r>
          </w:p>
        </w:tc>
        <w:tc>
          <w:tcPr>
            <w:tcW w:w="1809" w:type="dxa"/>
            <w:tcBorders>
              <w:top w:val="nil"/>
              <w:left w:val="nil"/>
              <w:bottom w:val="single" w:sz="4" w:space="0" w:color="auto"/>
              <w:right w:val="single" w:sz="4" w:space="0" w:color="auto"/>
            </w:tcBorders>
            <w:shd w:val="clear" w:color="auto" w:fill="auto"/>
            <w:noWrap/>
            <w:vAlign w:val="bottom"/>
            <w:hideMark/>
          </w:tcPr>
          <w:p w14:paraId="4851DC88"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14 de diciembre de 2020</w:t>
            </w:r>
          </w:p>
        </w:tc>
      </w:tr>
      <w:tr w:rsidR="00DC6FF0" w:rsidRPr="00CA558D" w14:paraId="2C4787EF" w14:textId="77777777" w:rsidTr="00DD5ADF">
        <w:trPr>
          <w:trHeight w:val="167"/>
          <w:jc w:val="center"/>
        </w:trPr>
        <w:tc>
          <w:tcPr>
            <w:tcW w:w="228" w:type="dxa"/>
            <w:tcBorders>
              <w:top w:val="nil"/>
              <w:left w:val="single" w:sz="4" w:space="0" w:color="auto"/>
              <w:bottom w:val="single" w:sz="4" w:space="0" w:color="auto"/>
              <w:right w:val="single" w:sz="4" w:space="0" w:color="auto"/>
            </w:tcBorders>
            <w:shd w:val="clear" w:color="auto" w:fill="auto"/>
            <w:noWrap/>
            <w:vAlign w:val="bottom"/>
            <w:hideMark/>
          </w:tcPr>
          <w:p w14:paraId="430F115E"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6</w:t>
            </w:r>
          </w:p>
        </w:tc>
        <w:tc>
          <w:tcPr>
            <w:tcW w:w="3958" w:type="dxa"/>
            <w:tcBorders>
              <w:top w:val="nil"/>
              <w:left w:val="nil"/>
              <w:bottom w:val="single" w:sz="4" w:space="0" w:color="auto"/>
              <w:right w:val="single" w:sz="4" w:space="0" w:color="auto"/>
            </w:tcBorders>
            <w:shd w:val="clear" w:color="auto" w:fill="auto"/>
            <w:vAlign w:val="bottom"/>
            <w:hideMark/>
          </w:tcPr>
          <w:p w14:paraId="341A0C81" w14:textId="3EE8C497" w:rsidR="00DC6FF0" w:rsidRPr="000D52ED" w:rsidRDefault="000E256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Envió</w:t>
            </w:r>
            <w:r w:rsidR="00DC6FF0" w:rsidRPr="000D52ED">
              <w:rPr>
                <w:rFonts w:ascii="Calibri" w:hAnsi="Calibri" w:cs="Calibri"/>
                <w:noProof/>
                <w:color w:val="000000"/>
                <w:sz w:val="16"/>
                <w:szCs w:val="16"/>
                <w:lang w:val="es-ES_tradnl" w:eastAsia="es-CO"/>
              </w:rPr>
              <w:t xml:space="preserve"> del resultado del análisis al Director </w:t>
            </w:r>
            <w:r w:rsidRPr="000D52ED">
              <w:rPr>
                <w:rFonts w:ascii="Calibri" w:hAnsi="Calibri" w:cs="Calibri"/>
                <w:noProof/>
                <w:color w:val="000000"/>
                <w:sz w:val="16"/>
                <w:szCs w:val="16"/>
                <w:lang w:val="es-ES_tradnl" w:eastAsia="es-CO"/>
              </w:rPr>
              <w:t>Jurídico</w:t>
            </w:r>
            <w:r w:rsidR="00DC6FF0" w:rsidRPr="000D52ED">
              <w:rPr>
                <w:rFonts w:ascii="Calibri" w:hAnsi="Calibri" w:cs="Calibri"/>
                <w:noProof/>
                <w:color w:val="000000"/>
                <w:sz w:val="16"/>
                <w:szCs w:val="16"/>
                <w:lang w:val="es-ES_tradnl" w:eastAsia="es-CO"/>
              </w:rPr>
              <w:t xml:space="preserve"> </w:t>
            </w:r>
          </w:p>
        </w:tc>
        <w:tc>
          <w:tcPr>
            <w:tcW w:w="1450" w:type="dxa"/>
            <w:tcBorders>
              <w:top w:val="nil"/>
              <w:left w:val="nil"/>
              <w:bottom w:val="single" w:sz="4" w:space="0" w:color="auto"/>
              <w:right w:val="single" w:sz="4" w:space="0" w:color="auto"/>
            </w:tcBorders>
            <w:shd w:val="clear" w:color="auto" w:fill="auto"/>
            <w:noWrap/>
            <w:vAlign w:val="bottom"/>
            <w:hideMark/>
          </w:tcPr>
          <w:p w14:paraId="665E8408" w14:textId="231C52C4" w:rsidR="00DC6FF0" w:rsidRPr="000D52ED" w:rsidRDefault="00EF4CFE"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Cumple con la actividad</w:t>
            </w:r>
          </w:p>
        </w:tc>
        <w:tc>
          <w:tcPr>
            <w:tcW w:w="1809" w:type="dxa"/>
            <w:tcBorders>
              <w:top w:val="nil"/>
              <w:left w:val="nil"/>
              <w:bottom w:val="single" w:sz="4" w:space="0" w:color="auto"/>
              <w:right w:val="single" w:sz="4" w:space="0" w:color="auto"/>
            </w:tcBorders>
            <w:shd w:val="clear" w:color="auto" w:fill="auto"/>
            <w:noWrap/>
            <w:vAlign w:val="bottom"/>
            <w:hideMark/>
          </w:tcPr>
          <w:p w14:paraId="52FC1892"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16 de diciembre de 2020</w:t>
            </w:r>
          </w:p>
        </w:tc>
      </w:tr>
      <w:tr w:rsidR="00DC6FF0" w:rsidRPr="00CA558D" w14:paraId="020EDBE4" w14:textId="77777777" w:rsidTr="00DD5ADF">
        <w:trPr>
          <w:trHeight w:val="234"/>
          <w:jc w:val="center"/>
        </w:trPr>
        <w:tc>
          <w:tcPr>
            <w:tcW w:w="228" w:type="dxa"/>
            <w:tcBorders>
              <w:top w:val="nil"/>
              <w:left w:val="single" w:sz="4" w:space="0" w:color="auto"/>
              <w:bottom w:val="single" w:sz="4" w:space="0" w:color="auto"/>
              <w:right w:val="single" w:sz="4" w:space="0" w:color="auto"/>
            </w:tcBorders>
            <w:shd w:val="clear" w:color="auto" w:fill="auto"/>
            <w:noWrap/>
            <w:vAlign w:val="bottom"/>
            <w:hideMark/>
          </w:tcPr>
          <w:p w14:paraId="4F36AF12"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7</w:t>
            </w:r>
          </w:p>
        </w:tc>
        <w:tc>
          <w:tcPr>
            <w:tcW w:w="3958" w:type="dxa"/>
            <w:tcBorders>
              <w:top w:val="nil"/>
              <w:left w:val="nil"/>
              <w:bottom w:val="single" w:sz="4" w:space="0" w:color="auto"/>
              <w:right w:val="single" w:sz="4" w:space="0" w:color="auto"/>
            </w:tcBorders>
            <w:shd w:val="clear" w:color="auto" w:fill="auto"/>
            <w:vAlign w:val="bottom"/>
            <w:hideMark/>
          </w:tcPr>
          <w:p w14:paraId="7FE717CF" w14:textId="54027052"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Revisión de los resultados del </w:t>
            </w:r>
            <w:r w:rsidR="000E2560" w:rsidRPr="000D52ED">
              <w:rPr>
                <w:rFonts w:ascii="Calibri" w:hAnsi="Calibri" w:cs="Calibri"/>
                <w:noProof/>
                <w:color w:val="000000"/>
                <w:sz w:val="16"/>
                <w:szCs w:val="16"/>
                <w:lang w:val="es-ES_tradnl" w:eastAsia="es-CO"/>
              </w:rPr>
              <w:t>análisis</w:t>
            </w:r>
            <w:r w:rsidRPr="000D52ED">
              <w:rPr>
                <w:rFonts w:ascii="Calibri" w:hAnsi="Calibri" w:cs="Calibri"/>
                <w:noProof/>
                <w:color w:val="000000"/>
                <w:sz w:val="16"/>
                <w:szCs w:val="16"/>
                <w:lang w:val="es-ES_tradnl" w:eastAsia="es-CO"/>
              </w:rPr>
              <w:t xml:space="preserve"> de las </w:t>
            </w:r>
            <w:r w:rsidR="000E2560" w:rsidRPr="000D52ED">
              <w:rPr>
                <w:rFonts w:ascii="Calibri" w:hAnsi="Calibri" w:cs="Calibri"/>
                <w:noProof/>
                <w:color w:val="000000"/>
                <w:sz w:val="16"/>
                <w:szCs w:val="16"/>
                <w:lang w:val="es-ES_tradnl" w:eastAsia="es-CO"/>
              </w:rPr>
              <w:t>disposiciones</w:t>
            </w:r>
            <w:r w:rsidRPr="000D52ED">
              <w:rPr>
                <w:rFonts w:ascii="Calibri" w:hAnsi="Calibri" w:cs="Calibri"/>
                <w:noProof/>
                <w:color w:val="000000"/>
                <w:sz w:val="16"/>
                <w:szCs w:val="16"/>
                <w:lang w:val="es-ES_tradnl" w:eastAsia="es-CO"/>
              </w:rPr>
              <w:t xml:space="preserve"> normativas</w:t>
            </w:r>
            <w:r w:rsidRPr="000D52ED">
              <w:rPr>
                <w:rFonts w:ascii="Calibri" w:hAnsi="Calibri" w:cs="Calibri"/>
                <w:noProof/>
                <w:color w:val="000000"/>
                <w:sz w:val="16"/>
                <w:szCs w:val="16"/>
                <w:lang w:val="es-ES_tradnl" w:eastAsia="es-CO"/>
              </w:rPr>
              <w:br/>
              <w:t xml:space="preserve">Aval de las </w:t>
            </w:r>
            <w:r w:rsidR="000E2560" w:rsidRPr="000D52ED">
              <w:rPr>
                <w:rFonts w:ascii="Calibri" w:hAnsi="Calibri" w:cs="Calibri"/>
                <w:noProof/>
                <w:color w:val="000000"/>
                <w:sz w:val="16"/>
                <w:szCs w:val="16"/>
                <w:lang w:val="es-ES_tradnl" w:eastAsia="es-CO"/>
              </w:rPr>
              <w:t>disposiciones</w:t>
            </w:r>
            <w:r w:rsidRPr="000D52ED">
              <w:rPr>
                <w:rFonts w:ascii="Calibri" w:hAnsi="Calibri" w:cs="Calibri"/>
                <w:noProof/>
                <w:color w:val="000000"/>
                <w:sz w:val="16"/>
                <w:szCs w:val="16"/>
                <w:lang w:val="es-ES_tradnl" w:eastAsia="es-CO"/>
              </w:rPr>
              <w:t xml:space="preserve"> del DUR a depurar</w:t>
            </w:r>
            <w:r w:rsidRPr="000D52ED">
              <w:rPr>
                <w:rFonts w:ascii="Calibri" w:hAnsi="Calibri" w:cs="Calibri"/>
                <w:noProof/>
                <w:color w:val="000000"/>
                <w:sz w:val="16"/>
                <w:szCs w:val="16"/>
                <w:lang w:val="es-ES_tradnl" w:eastAsia="es-CO"/>
              </w:rPr>
              <w:br/>
              <w:t xml:space="preserve">Consolidación de toda la información </w:t>
            </w:r>
          </w:p>
        </w:tc>
        <w:tc>
          <w:tcPr>
            <w:tcW w:w="1450" w:type="dxa"/>
            <w:tcBorders>
              <w:top w:val="nil"/>
              <w:left w:val="nil"/>
              <w:bottom w:val="single" w:sz="4" w:space="0" w:color="auto"/>
              <w:right w:val="single" w:sz="4" w:space="0" w:color="auto"/>
            </w:tcBorders>
            <w:shd w:val="clear" w:color="auto" w:fill="auto"/>
            <w:noWrap/>
            <w:vAlign w:val="bottom"/>
            <w:hideMark/>
          </w:tcPr>
          <w:p w14:paraId="5F894AF8" w14:textId="638526FB" w:rsidR="00DC6FF0" w:rsidRPr="000D52ED" w:rsidRDefault="00EF4CFE"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Cumple con la actividad</w:t>
            </w:r>
          </w:p>
        </w:tc>
        <w:tc>
          <w:tcPr>
            <w:tcW w:w="1809" w:type="dxa"/>
            <w:tcBorders>
              <w:top w:val="nil"/>
              <w:left w:val="nil"/>
              <w:bottom w:val="single" w:sz="4" w:space="0" w:color="auto"/>
              <w:right w:val="single" w:sz="4" w:space="0" w:color="auto"/>
            </w:tcBorders>
            <w:shd w:val="clear" w:color="auto" w:fill="auto"/>
            <w:noWrap/>
            <w:vAlign w:val="bottom"/>
            <w:hideMark/>
          </w:tcPr>
          <w:p w14:paraId="310E0627"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19 de abril de 2021</w:t>
            </w:r>
          </w:p>
        </w:tc>
      </w:tr>
      <w:tr w:rsidR="00DC6FF0" w:rsidRPr="00CA558D" w14:paraId="25776B70" w14:textId="77777777" w:rsidTr="00DD5ADF">
        <w:trPr>
          <w:trHeight w:val="294"/>
          <w:jc w:val="center"/>
        </w:trPr>
        <w:tc>
          <w:tcPr>
            <w:tcW w:w="228" w:type="dxa"/>
            <w:tcBorders>
              <w:top w:val="nil"/>
              <w:left w:val="single" w:sz="4" w:space="0" w:color="auto"/>
              <w:bottom w:val="single" w:sz="4" w:space="0" w:color="auto"/>
              <w:right w:val="single" w:sz="4" w:space="0" w:color="auto"/>
            </w:tcBorders>
            <w:shd w:val="clear" w:color="auto" w:fill="auto"/>
            <w:noWrap/>
            <w:vAlign w:val="bottom"/>
            <w:hideMark/>
          </w:tcPr>
          <w:p w14:paraId="0F166584"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8</w:t>
            </w:r>
          </w:p>
        </w:tc>
        <w:tc>
          <w:tcPr>
            <w:tcW w:w="3958" w:type="dxa"/>
            <w:tcBorders>
              <w:top w:val="nil"/>
              <w:left w:val="nil"/>
              <w:bottom w:val="single" w:sz="4" w:space="0" w:color="auto"/>
              <w:right w:val="single" w:sz="4" w:space="0" w:color="auto"/>
            </w:tcBorders>
            <w:shd w:val="clear" w:color="auto" w:fill="auto"/>
            <w:vAlign w:val="bottom"/>
            <w:hideMark/>
          </w:tcPr>
          <w:p w14:paraId="69412875" w14:textId="7FD38783"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Remisión de la información consolidada e informe de la aplicación de la </w:t>
            </w:r>
            <w:r w:rsidR="000E2560" w:rsidRPr="000D52ED">
              <w:rPr>
                <w:rFonts w:ascii="Calibri" w:hAnsi="Calibri" w:cs="Calibri"/>
                <w:noProof/>
                <w:color w:val="000000"/>
                <w:sz w:val="16"/>
                <w:szCs w:val="16"/>
                <w:lang w:val="es-ES_tradnl" w:eastAsia="es-CO"/>
              </w:rPr>
              <w:t>metodología</w:t>
            </w:r>
            <w:r w:rsidRPr="000D52ED">
              <w:rPr>
                <w:rFonts w:ascii="Calibri" w:hAnsi="Calibri" w:cs="Calibri"/>
                <w:noProof/>
                <w:color w:val="000000"/>
                <w:sz w:val="16"/>
                <w:szCs w:val="16"/>
                <w:lang w:val="es-ES_tradnl" w:eastAsia="es-CO"/>
              </w:rPr>
              <w:t xml:space="preserve"> de depuración a la DDDOJ del MJD</w:t>
            </w:r>
          </w:p>
        </w:tc>
        <w:tc>
          <w:tcPr>
            <w:tcW w:w="1450" w:type="dxa"/>
            <w:tcBorders>
              <w:top w:val="nil"/>
              <w:left w:val="nil"/>
              <w:bottom w:val="single" w:sz="4" w:space="0" w:color="auto"/>
              <w:right w:val="single" w:sz="4" w:space="0" w:color="auto"/>
            </w:tcBorders>
            <w:shd w:val="clear" w:color="auto" w:fill="auto"/>
            <w:noWrap/>
            <w:vAlign w:val="bottom"/>
            <w:hideMark/>
          </w:tcPr>
          <w:p w14:paraId="03BA077E" w14:textId="77777777"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Se cumple con la actividad</w:t>
            </w:r>
          </w:p>
        </w:tc>
        <w:tc>
          <w:tcPr>
            <w:tcW w:w="1809" w:type="dxa"/>
            <w:tcBorders>
              <w:top w:val="nil"/>
              <w:left w:val="nil"/>
              <w:bottom w:val="single" w:sz="4" w:space="0" w:color="auto"/>
              <w:right w:val="single" w:sz="4" w:space="0" w:color="auto"/>
            </w:tcBorders>
            <w:shd w:val="clear" w:color="auto" w:fill="auto"/>
            <w:noWrap/>
            <w:vAlign w:val="bottom"/>
            <w:hideMark/>
          </w:tcPr>
          <w:p w14:paraId="12BE3156" w14:textId="1E80A37A" w:rsidR="00DC6FF0" w:rsidRPr="000D52ED" w:rsidRDefault="00DC6FF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2</w:t>
            </w:r>
            <w:r w:rsidR="00D049A5" w:rsidRPr="000D52ED">
              <w:rPr>
                <w:rFonts w:ascii="Calibri" w:hAnsi="Calibri" w:cs="Calibri"/>
                <w:noProof/>
                <w:color w:val="000000"/>
                <w:sz w:val="16"/>
                <w:szCs w:val="16"/>
                <w:lang w:val="es-ES_tradnl" w:eastAsia="es-CO"/>
              </w:rPr>
              <w:t>9</w:t>
            </w:r>
            <w:r w:rsidRPr="000D52ED">
              <w:rPr>
                <w:rFonts w:ascii="Calibri" w:hAnsi="Calibri" w:cs="Calibri"/>
                <w:noProof/>
                <w:color w:val="000000"/>
                <w:sz w:val="16"/>
                <w:szCs w:val="16"/>
                <w:lang w:val="es-ES_tradnl" w:eastAsia="es-CO"/>
              </w:rPr>
              <w:t xml:space="preserve"> abril de 2021</w:t>
            </w:r>
          </w:p>
        </w:tc>
      </w:tr>
    </w:tbl>
    <w:p w14:paraId="32188488" w14:textId="57E2536E" w:rsidR="00DC6FF0" w:rsidRPr="000D52ED" w:rsidRDefault="00DC6FF0" w:rsidP="00E16D5F">
      <w:pPr>
        <w:jc w:val="both"/>
        <w:rPr>
          <w:noProof/>
          <w:lang w:val="es-ES_tradnl"/>
        </w:rPr>
      </w:pPr>
    </w:p>
    <w:p w14:paraId="20A79321" w14:textId="04E02646" w:rsidR="006C0348" w:rsidRPr="000D52ED" w:rsidRDefault="006C0348" w:rsidP="00E16D5F">
      <w:pPr>
        <w:jc w:val="both"/>
        <w:rPr>
          <w:noProof/>
          <w:lang w:val="es-ES_tradnl"/>
        </w:rPr>
      </w:pPr>
      <w:r w:rsidRPr="000D52ED">
        <w:rPr>
          <w:noProof/>
          <w:lang w:val="es-ES_tradnl"/>
        </w:rPr>
        <w:t>Finalizado el proceso de revisión de la primera versión de este informe de fecha 4 de mayo de la presente anualidad por parte de la Dirección de Desarrollo del Derecho y del Ordenamiento Jurídico, se procedió por parte de la Oficina Asesora Jurídica de Prosperidad Social</w:t>
      </w:r>
      <w:r w:rsidR="008E3B46">
        <w:rPr>
          <w:noProof/>
          <w:lang w:val="es-ES_tradnl"/>
        </w:rPr>
        <w:t>,</w:t>
      </w:r>
      <w:r w:rsidRPr="000D52ED">
        <w:rPr>
          <w:noProof/>
          <w:lang w:val="es-ES_tradnl"/>
        </w:rPr>
        <w:t xml:space="preserve"> en coordinación con las Oficinas Asesoras Jurídicas de las entidades adscritas al sector</w:t>
      </w:r>
      <w:r w:rsidR="008E3B46">
        <w:rPr>
          <w:noProof/>
          <w:lang w:val="es-ES_tradnl"/>
        </w:rPr>
        <w:t>,</w:t>
      </w:r>
      <w:r w:rsidRPr="000D52ED">
        <w:rPr>
          <w:noProof/>
          <w:lang w:val="es-ES_tradnl"/>
        </w:rPr>
        <w:t xml:space="preserve"> a revisar las observaciones remidas en el oficio MJD-OFI21-0016607-DOJ-2300</w:t>
      </w:r>
      <w:r w:rsidR="008E3B46">
        <w:rPr>
          <w:noProof/>
          <w:lang w:val="es-ES_tradnl"/>
        </w:rPr>
        <w:t xml:space="preserve"> y realizar los respectivos ajustes</w:t>
      </w:r>
      <w:r w:rsidRPr="000D52ED">
        <w:rPr>
          <w:noProof/>
          <w:lang w:val="es-ES_tradnl"/>
        </w:rPr>
        <w:t xml:space="preserve">. </w:t>
      </w:r>
    </w:p>
    <w:p w14:paraId="79D46493" w14:textId="426CA01B" w:rsidR="00A04A95" w:rsidRPr="000D52ED" w:rsidRDefault="00A04A95" w:rsidP="00E16D5F">
      <w:pPr>
        <w:pStyle w:val="Ttulo2"/>
        <w:numPr>
          <w:ilvl w:val="0"/>
          <w:numId w:val="18"/>
        </w:numPr>
        <w:jc w:val="both"/>
        <w:rPr>
          <w:noProof/>
          <w:lang w:val="es-ES_tradnl"/>
        </w:rPr>
      </w:pPr>
      <w:r w:rsidRPr="000D52ED">
        <w:rPr>
          <w:noProof/>
          <w:lang w:val="es-ES_tradnl"/>
        </w:rPr>
        <w:t>Balance de normas objeto de depuración</w:t>
      </w:r>
      <w:r w:rsidR="00B935BE" w:rsidRPr="000D52ED">
        <w:rPr>
          <w:noProof/>
          <w:lang w:val="es-ES_tradnl"/>
        </w:rPr>
        <w:t>:</w:t>
      </w:r>
    </w:p>
    <w:p w14:paraId="6C2913C0" w14:textId="77777777" w:rsidR="00603924" w:rsidRDefault="00603924" w:rsidP="00E16D5F">
      <w:pPr>
        <w:jc w:val="both"/>
        <w:rPr>
          <w:noProof/>
          <w:lang w:val="es-ES_tradnl"/>
        </w:rPr>
      </w:pPr>
    </w:p>
    <w:p w14:paraId="0C078EDE" w14:textId="7EE797E5" w:rsidR="006C46F3" w:rsidRDefault="00992983" w:rsidP="00E16D5F">
      <w:pPr>
        <w:jc w:val="both"/>
        <w:rPr>
          <w:noProof/>
          <w:lang w:val="es-ES_tradnl"/>
        </w:rPr>
      </w:pPr>
      <w:r w:rsidRPr="000D52ED">
        <w:rPr>
          <w:noProof/>
          <w:lang w:val="es-ES_tradnl"/>
        </w:rPr>
        <w:t xml:space="preserve">En el proceso de depuración </w:t>
      </w:r>
      <w:r w:rsidR="0019486E" w:rsidRPr="000D52ED">
        <w:rPr>
          <w:noProof/>
          <w:lang w:val="es-ES_tradnl"/>
        </w:rPr>
        <w:t>normativa</w:t>
      </w:r>
      <w:r w:rsidR="001203E6" w:rsidRPr="000D52ED">
        <w:rPr>
          <w:noProof/>
          <w:lang w:val="es-ES_tradnl"/>
        </w:rPr>
        <w:t xml:space="preserve"> se </w:t>
      </w:r>
      <w:r w:rsidR="001C1328" w:rsidRPr="000D52ED">
        <w:rPr>
          <w:noProof/>
          <w:lang w:val="es-ES_tradnl"/>
        </w:rPr>
        <w:t>identific</w:t>
      </w:r>
      <w:r w:rsidR="001203E6" w:rsidRPr="000D52ED">
        <w:rPr>
          <w:noProof/>
          <w:lang w:val="es-ES_tradnl"/>
        </w:rPr>
        <w:t xml:space="preserve">aron </w:t>
      </w:r>
      <w:r w:rsidR="00B42420" w:rsidRPr="000D52ED">
        <w:rPr>
          <w:noProof/>
          <w:lang w:val="es-ES_tradnl"/>
        </w:rPr>
        <w:t>cinco</w:t>
      </w:r>
      <w:r w:rsidR="007713F7" w:rsidRPr="000D52ED">
        <w:rPr>
          <w:noProof/>
          <w:lang w:val="es-ES_tradnl"/>
        </w:rPr>
        <w:t xml:space="preserve"> (</w:t>
      </w:r>
      <w:r w:rsidR="00B42420" w:rsidRPr="000D52ED">
        <w:rPr>
          <w:noProof/>
          <w:lang w:val="es-ES_tradnl"/>
        </w:rPr>
        <w:t>5</w:t>
      </w:r>
      <w:r w:rsidR="007713F7" w:rsidRPr="000D52ED">
        <w:rPr>
          <w:noProof/>
          <w:lang w:val="es-ES_tradnl"/>
        </w:rPr>
        <w:t xml:space="preserve">) </w:t>
      </w:r>
      <w:r w:rsidR="001C1328" w:rsidRPr="000D52ED">
        <w:rPr>
          <w:noProof/>
          <w:lang w:val="es-ES_tradnl"/>
        </w:rPr>
        <w:t>normas</w:t>
      </w:r>
      <w:r w:rsidR="007A526F" w:rsidRPr="000D52ED">
        <w:rPr>
          <w:noProof/>
          <w:lang w:val="es-ES_tradnl"/>
        </w:rPr>
        <w:t xml:space="preserve"> </w:t>
      </w:r>
      <w:r w:rsidR="00A97024" w:rsidRPr="000D52ED">
        <w:rPr>
          <w:noProof/>
          <w:lang w:val="es-ES_tradnl"/>
        </w:rPr>
        <w:t xml:space="preserve">objeto de </w:t>
      </w:r>
      <w:r w:rsidR="00420907" w:rsidRPr="000D52ED">
        <w:rPr>
          <w:noProof/>
          <w:lang w:val="es-ES_tradnl"/>
        </w:rPr>
        <w:t>eliminación</w:t>
      </w:r>
      <w:r w:rsidR="00585B19" w:rsidRPr="000D52ED">
        <w:rPr>
          <w:noProof/>
          <w:lang w:val="es-ES_tradnl"/>
        </w:rPr>
        <w:t>,</w:t>
      </w:r>
      <w:r w:rsidR="00A97024" w:rsidRPr="000D52ED">
        <w:rPr>
          <w:noProof/>
          <w:lang w:val="es-ES_tradnl"/>
        </w:rPr>
        <w:t xml:space="preserve"> </w:t>
      </w:r>
      <w:r w:rsidR="0032609A" w:rsidRPr="000D52ED">
        <w:rPr>
          <w:noProof/>
          <w:lang w:val="es-ES_tradnl"/>
        </w:rPr>
        <w:t xml:space="preserve">que se </w:t>
      </w:r>
      <w:r w:rsidR="00932BE3" w:rsidRPr="000D52ED">
        <w:rPr>
          <w:noProof/>
          <w:lang w:val="es-ES_tradnl"/>
        </w:rPr>
        <w:t>enuncian</w:t>
      </w:r>
      <w:r w:rsidR="00DA0F10" w:rsidRPr="000D52ED">
        <w:rPr>
          <w:noProof/>
          <w:lang w:val="es-ES_tradnl"/>
        </w:rPr>
        <w:t xml:space="preserve"> </w:t>
      </w:r>
      <w:r w:rsidR="007A526F" w:rsidRPr="000D52ED">
        <w:rPr>
          <w:noProof/>
          <w:lang w:val="es-ES_tradnl"/>
        </w:rPr>
        <w:t>a continuación</w:t>
      </w:r>
      <w:r w:rsidR="00810468" w:rsidRPr="000D52ED">
        <w:rPr>
          <w:noProof/>
          <w:lang w:val="es-ES_tradnl"/>
        </w:rPr>
        <w:t>:</w:t>
      </w:r>
      <w:r w:rsidR="00B42420" w:rsidRPr="000D52ED">
        <w:rPr>
          <w:noProof/>
          <w:lang w:val="es-ES_tradnl"/>
        </w:rPr>
        <w:t xml:space="preserve"> </w:t>
      </w:r>
    </w:p>
    <w:p w14:paraId="15BB22CE" w14:textId="77777777" w:rsidR="00603924" w:rsidRPr="000D52ED" w:rsidRDefault="00603924" w:rsidP="00E16D5F">
      <w:pPr>
        <w:jc w:val="both"/>
        <w:rPr>
          <w:noProof/>
          <w:lang w:val="es-ES_tradnl"/>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992"/>
        <w:gridCol w:w="3402"/>
        <w:gridCol w:w="1134"/>
        <w:gridCol w:w="3118"/>
      </w:tblGrid>
      <w:tr w:rsidR="00AE04F7" w:rsidRPr="00CA558D" w14:paraId="5AC2DB59" w14:textId="77777777" w:rsidTr="0090085B">
        <w:trPr>
          <w:trHeight w:val="300"/>
        </w:trPr>
        <w:tc>
          <w:tcPr>
            <w:tcW w:w="416" w:type="dxa"/>
            <w:shd w:val="clear" w:color="auto" w:fill="auto"/>
            <w:vAlign w:val="center"/>
            <w:hideMark/>
          </w:tcPr>
          <w:p w14:paraId="73D3E070" w14:textId="27DB900A" w:rsidR="00AE04F7" w:rsidRPr="000D52ED" w:rsidRDefault="00B32979" w:rsidP="00E16D5F">
            <w:pPr>
              <w:jc w:val="both"/>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No.</w:t>
            </w:r>
          </w:p>
        </w:tc>
        <w:tc>
          <w:tcPr>
            <w:tcW w:w="992" w:type="dxa"/>
            <w:shd w:val="clear" w:color="auto" w:fill="auto"/>
            <w:vAlign w:val="center"/>
            <w:hideMark/>
          </w:tcPr>
          <w:p w14:paraId="22560FA4" w14:textId="7CC5BFB6" w:rsidR="00AE04F7" w:rsidRPr="000D52ED" w:rsidRDefault="00AE04F7" w:rsidP="00E16D5F">
            <w:pPr>
              <w:jc w:val="both"/>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ARTÍCULO:</w:t>
            </w:r>
          </w:p>
        </w:tc>
        <w:tc>
          <w:tcPr>
            <w:tcW w:w="3402" w:type="dxa"/>
            <w:shd w:val="clear" w:color="auto" w:fill="auto"/>
            <w:vAlign w:val="center"/>
            <w:hideMark/>
          </w:tcPr>
          <w:p w14:paraId="5AA2D03B" w14:textId="7441063F" w:rsidR="00AE04F7" w:rsidRPr="000D52ED" w:rsidRDefault="00AE04F7" w:rsidP="00E16D5F">
            <w:pPr>
              <w:jc w:val="both"/>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TEXTO DEL ARTÍCULO:</w:t>
            </w:r>
          </w:p>
        </w:tc>
        <w:tc>
          <w:tcPr>
            <w:tcW w:w="1134" w:type="dxa"/>
            <w:shd w:val="clear" w:color="auto" w:fill="auto"/>
            <w:vAlign w:val="center"/>
            <w:hideMark/>
          </w:tcPr>
          <w:p w14:paraId="331B567A" w14:textId="77777777" w:rsidR="00AE04F7" w:rsidRPr="000D52ED" w:rsidRDefault="00AE04F7" w:rsidP="00E16D5F">
            <w:pPr>
              <w:jc w:val="both"/>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CRITERIO APLICABLE:</w:t>
            </w:r>
          </w:p>
        </w:tc>
        <w:tc>
          <w:tcPr>
            <w:tcW w:w="3118" w:type="dxa"/>
            <w:shd w:val="clear" w:color="auto" w:fill="auto"/>
            <w:vAlign w:val="center"/>
            <w:hideMark/>
          </w:tcPr>
          <w:p w14:paraId="3AD16781" w14:textId="64F59A42" w:rsidR="00AE04F7" w:rsidRPr="000D52ED" w:rsidRDefault="00B81ACF" w:rsidP="00E16D5F">
            <w:pPr>
              <w:jc w:val="both"/>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JUSTIFICACIÓN DEL</w:t>
            </w:r>
            <w:r w:rsidR="00AE04F7" w:rsidRPr="000D52ED">
              <w:rPr>
                <w:rFonts w:ascii="Calibri" w:hAnsi="Calibri" w:cs="Calibri"/>
                <w:b/>
                <w:bCs/>
                <w:noProof/>
                <w:color w:val="000000"/>
                <w:sz w:val="16"/>
                <w:szCs w:val="16"/>
                <w:lang w:val="es-ES_tradnl" w:eastAsia="es-CO"/>
              </w:rPr>
              <w:t xml:space="preserve"> EQUIPO: </w:t>
            </w:r>
          </w:p>
        </w:tc>
      </w:tr>
      <w:tr w:rsidR="00AE04F7" w:rsidRPr="00CA558D" w14:paraId="4C560E37" w14:textId="77777777" w:rsidTr="0090085B">
        <w:trPr>
          <w:trHeight w:val="1055"/>
        </w:trPr>
        <w:tc>
          <w:tcPr>
            <w:tcW w:w="416" w:type="dxa"/>
            <w:shd w:val="clear" w:color="auto" w:fill="auto"/>
            <w:noWrap/>
            <w:vAlign w:val="center"/>
            <w:hideMark/>
          </w:tcPr>
          <w:p w14:paraId="0065D847" w14:textId="77777777" w:rsidR="00AE04F7"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1</w:t>
            </w:r>
          </w:p>
        </w:tc>
        <w:tc>
          <w:tcPr>
            <w:tcW w:w="992" w:type="dxa"/>
            <w:shd w:val="clear" w:color="auto" w:fill="auto"/>
            <w:hideMark/>
          </w:tcPr>
          <w:p w14:paraId="5E26C155" w14:textId="1A4D5BE2" w:rsidR="00AE04F7"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Parte 2 Título 7 Capitulo 4</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 xml:space="preserve">Art. 2.2.7.4.7. </w:t>
            </w:r>
          </w:p>
        </w:tc>
        <w:tc>
          <w:tcPr>
            <w:tcW w:w="3402" w:type="dxa"/>
            <w:shd w:val="clear" w:color="auto" w:fill="auto"/>
            <w:hideMark/>
          </w:tcPr>
          <w:p w14:paraId="1FA541CB" w14:textId="77777777" w:rsidR="0027479A"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b/>
                <w:bCs/>
                <w:noProof/>
                <w:color w:val="000000"/>
                <w:sz w:val="16"/>
                <w:szCs w:val="16"/>
                <w:lang w:val="es-ES_tradnl" w:eastAsia="es-CO"/>
              </w:rPr>
              <w:t>Artículo 2.2.7.4.7. Indemnización individual administrativa para las víctimas de desplazamiento forzado.</w:t>
            </w:r>
            <w:r w:rsidRPr="000D52ED">
              <w:rPr>
                <w:rFonts w:ascii="Calibri" w:hAnsi="Calibri" w:cs="Calibri"/>
                <w:noProof/>
                <w:color w:val="000000"/>
                <w:sz w:val="16"/>
                <w:szCs w:val="16"/>
                <w:lang w:val="es-ES_tradnl" w:eastAsia="es-CO"/>
              </w:rPr>
              <w:t xml:space="preserve"> La indemnización administrativa a las víctimas de desplazamiento forzado se entregará prioritariamente a los núcleos familiares que cumplan alguno de los siguientes criterios: 1. Que hayan suplido sus </w:t>
            </w:r>
            <w:r w:rsidRPr="000D52ED">
              <w:rPr>
                <w:rFonts w:ascii="Calibri" w:hAnsi="Calibri" w:cs="Calibri"/>
                <w:noProof/>
                <w:color w:val="000000"/>
                <w:sz w:val="16"/>
                <w:szCs w:val="16"/>
                <w:lang w:val="es-ES_tradnl" w:eastAsia="es-CO"/>
              </w:rPr>
              <w:lastRenderedPageBreak/>
              <w:t xml:space="preserve">carencias en materia de subsistencia mínima y se encuentre en proceso de retorno o reubicación en el lugar de su elección. Para tal fin, la Unidad para la Atención y Reparación Integral a las Víctimas formulará, con </w:t>
            </w:r>
            <w:r w:rsidR="00A63D2D" w:rsidRPr="000D52ED">
              <w:rPr>
                <w:rFonts w:ascii="Calibri" w:hAnsi="Calibri" w:cs="Calibri"/>
                <w:noProof/>
                <w:color w:val="000000"/>
                <w:sz w:val="16"/>
                <w:szCs w:val="16"/>
                <w:lang w:val="es-ES_tradnl" w:eastAsia="es-CO"/>
              </w:rPr>
              <w:t>participación</w:t>
            </w:r>
            <w:r w:rsidRPr="000D52ED">
              <w:rPr>
                <w:rFonts w:ascii="Calibri" w:hAnsi="Calibri" w:cs="Calibri"/>
                <w:noProof/>
                <w:color w:val="000000"/>
                <w:sz w:val="16"/>
                <w:szCs w:val="16"/>
                <w:lang w:val="es-ES_tradnl" w:eastAsia="es-CO"/>
              </w:rPr>
              <w:t xml:space="preserve"> de las personas que conformen el núcleo familiar víctima un Plan de Atención, Asistencia y Reparación Integral PAARI-. 2. Que no hayan suplido sus carencias en materia de subsistencia mínima debido a que se encuentran en situación de extrema urgencia y vulnerabilidad manifiesta debido a la condición de discapacidad, edad o composición del hogar. 3. Que solicitaron a la Unidad para la Atención y Reparación Integral a las Víctimas acompañamiento para el retorno o la reubicación y éste no pudo realizarse por condiciones de seguridad, siempre y cuando hayan suplido sus carencias en materia de subsistencia mínima. </w:t>
            </w:r>
          </w:p>
          <w:p w14:paraId="21C26156" w14:textId="0C65409B" w:rsidR="00AE04F7"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br/>
              <w:t>Parágrafo. La Unidad para la Atención y Reparación Integral a las Víctimas ejercerá la coordinación interinstitucional para verificar las condiciones de seguridad de la zona de retorno o reubicación en el marco de los Comités Territoriales de Justicia Transicional, y para promover el acceso gradual de las víctimas retornadas o reubicadas a los derechos a los que hace referencia el artículo 2.2.6.5.8.5 del presente Decreto.</w:t>
            </w:r>
            <w:r w:rsidR="00B42420" w:rsidRPr="000D52ED">
              <w:rPr>
                <w:rFonts w:ascii="Calibri" w:hAnsi="Calibri" w:cs="Calibri"/>
                <w:noProof/>
                <w:color w:val="000000"/>
                <w:sz w:val="16"/>
                <w:szCs w:val="16"/>
                <w:lang w:val="es-ES_tradnl" w:eastAsia="es-CO"/>
              </w:rPr>
              <w:t xml:space="preserve"> </w:t>
            </w:r>
          </w:p>
          <w:p w14:paraId="0FD3B3CC" w14:textId="29FED18C" w:rsidR="0027479A" w:rsidRPr="000D52ED" w:rsidRDefault="0027479A" w:rsidP="0027479A">
            <w:pPr>
              <w:jc w:val="both"/>
              <w:rPr>
                <w:rFonts w:ascii="Calibri" w:hAnsi="Calibri" w:cs="Calibri"/>
                <w:noProof/>
                <w:color w:val="0070C0"/>
                <w:sz w:val="16"/>
                <w:szCs w:val="16"/>
                <w:u w:val="single"/>
                <w:lang w:val="es-ES_tradnl" w:eastAsia="es-CO"/>
              </w:rPr>
            </w:pPr>
            <w:r w:rsidRPr="000D52ED">
              <w:rPr>
                <w:rFonts w:ascii="Calibri" w:hAnsi="Calibri" w:cs="Calibri"/>
                <w:noProof/>
                <w:color w:val="0070C0"/>
                <w:sz w:val="16"/>
                <w:szCs w:val="16"/>
                <w:u w:val="single"/>
                <w:lang w:val="es-ES_tradnl" w:eastAsia="es-CO"/>
              </w:rPr>
              <w:t>(</w:t>
            </w:r>
            <w:hyperlink r:id="rId8" w:history="1">
              <w:r w:rsidRPr="000D52ED">
                <w:rPr>
                  <w:rFonts w:ascii="Calibri" w:hAnsi="Calibri" w:cs="Calibri"/>
                  <w:noProof/>
                  <w:color w:val="0070C0"/>
                  <w:sz w:val="16"/>
                  <w:szCs w:val="16"/>
                  <w:u w:val="single"/>
                  <w:lang w:val="es-ES_tradnl" w:eastAsia="es-CO"/>
                </w:rPr>
                <w:t>Decreto 1377 de 2014, artículo 7</w:t>
              </w:r>
            </w:hyperlink>
            <w:r w:rsidRPr="000D52ED">
              <w:rPr>
                <w:rFonts w:ascii="Calibri" w:hAnsi="Calibri" w:cs="Calibri"/>
                <w:noProof/>
                <w:color w:val="0070C0"/>
                <w:sz w:val="16"/>
                <w:szCs w:val="16"/>
                <w:u w:val="single"/>
                <w:lang w:val="es-ES_tradnl" w:eastAsia="es-CO"/>
              </w:rPr>
              <w:t>)</w:t>
            </w:r>
          </w:p>
        </w:tc>
        <w:tc>
          <w:tcPr>
            <w:tcW w:w="1134" w:type="dxa"/>
            <w:shd w:val="clear" w:color="auto" w:fill="auto"/>
            <w:hideMark/>
          </w:tcPr>
          <w:p w14:paraId="47A559C6" w14:textId="77777777" w:rsidR="00AE04F7" w:rsidRPr="000D52ED" w:rsidRDefault="00AE04F7" w:rsidP="00E16D5F">
            <w:pPr>
              <w:jc w:val="both"/>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lastRenderedPageBreak/>
              <w:t>Obsolescencia</w:t>
            </w:r>
          </w:p>
        </w:tc>
        <w:tc>
          <w:tcPr>
            <w:tcW w:w="3118" w:type="dxa"/>
            <w:shd w:val="clear" w:color="auto" w:fill="auto"/>
            <w:hideMark/>
          </w:tcPr>
          <w:p w14:paraId="2D71D167" w14:textId="10CCA717" w:rsidR="00AE04F7"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Se propone la depuración del artículo en comento por no </w:t>
            </w:r>
            <w:r w:rsidR="006A30DB" w:rsidRPr="000D52ED">
              <w:rPr>
                <w:rFonts w:ascii="Calibri" w:hAnsi="Calibri" w:cs="Calibri"/>
                <w:noProof/>
                <w:color w:val="000000"/>
                <w:sz w:val="16"/>
                <w:szCs w:val="16"/>
                <w:lang w:val="es-ES_tradnl" w:eastAsia="es-CO"/>
              </w:rPr>
              <w:t>ajustarse</w:t>
            </w:r>
            <w:r w:rsidRPr="000D52ED">
              <w:rPr>
                <w:rFonts w:ascii="Calibri" w:hAnsi="Calibri" w:cs="Calibri"/>
                <w:noProof/>
                <w:color w:val="000000"/>
                <w:sz w:val="16"/>
                <w:szCs w:val="16"/>
                <w:lang w:val="es-ES_tradnl" w:eastAsia="es-CO"/>
              </w:rPr>
              <w:t xml:space="preserve"> a las circunstancias sociales, económicas y políticas actuales. La entrega de la indemnización </w:t>
            </w:r>
            <w:r w:rsidR="00A63D2D" w:rsidRPr="000D52ED">
              <w:rPr>
                <w:rFonts w:ascii="Calibri" w:hAnsi="Calibri" w:cs="Calibri"/>
                <w:noProof/>
                <w:color w:val="000000"/>
                <w:sz w:val="16"/>
                <w:szCs w:val="16"/>
                <w:lang w:val="es-ES_tradnl" w:eastAsia="es-CO"/>
              </w:rPr>
              <w:t>administrativa</w:t>
            </w:r>
            <w:r w:rsidRPr="000D52ED">
              <w:rPr>
                <w:rFonts w:ascii="Calibri" w:hAnsi="Calibri" w:cs="Calibri"/>
                <w:noProof/>
                <w:color w:val="000000"/>
                <w:sz w:val="16"/>
                <w:szCs w:val="16"/>
                <w:lang w:val="es-ES_tradnl" w:eastAsia="es-CO"/>
              </w:rPr>
              <w:t xml:space="preserve"> y la priorización respectiva se hace conforme la Resolución 1049 del 15 de marzo de 2019, que se expidió en cumplimiento a las órdenes </w:t>
            </w:r>
            <w:r w:rsidRPr="000D52ED">
              <w:rPr>
                <w:rFonts w:ascii="Calibri" w:hAnsi="Calibri" w:cs="Calibri"/>
                <w:noProof/>
                <w:color w:val="000000"/>
                <w:sz w:val="16"/>
                <w:szCs w:val="16"/>
                <w:lang w:val="es-ES_tradnl" w:eastAsia="es-CO"/>
              </w:rPr>
              <w:lastRenderedPageBreak/>
              <w:t>impartidas por la Corte Constitucional en el Auto 206 de 2017 (decisión proferida en el marco del seguimiento al Estado de Cosas Inconstitucional declarado en la sentencia T-025 de 2004)</w:t>
            </w:r>
            <w:r w:rsidR="00725843">
              <w:rPr>
                <w:rFonts w:ascii="Calibri" w:hAnsi="Calibri" w:cs="Calibri"/>
                <w:noProof/>
                <w:color w:val="000000"/>
                <w:sz w:val="16"/>
                <w:szCs w:val="16"/>
                <w:lang w:val="es-ES_tradnl" w:eastAsia="es-CO"/>
              </w:rPr>
              <w:t xml:space="preserve"> y la cual resulta más efectiva para el cumplimiento de las obligaciones a cargo de la UARIV y del fallo judicial antes señalado</w:t>
            </w:r>
            <w:r w:rsidRPr="000D52ED">
              <w:rPr>
                <w:rFonts w:ascii="Calibri" w:hAnsi="Calibri" w:cs="Calibri"/>
                <w:noProof/>
                <w:color w:val="000000"/>
                <w:sz w:val="16"/>
                <w:szCs w:val="16"/>
                <w:lang w:val="es-ES_tradnl" w:eastAsia="es-CO"/>
              </w:rPr>
              <w:t xml:space="preserve">. </w:t>
            </w:r>
          </w:p>
        </w:tc>
      </w:tr>
      <w:tr w:rsidR="00AE04F7" w:rsidRPr="00CA558D" w14:paraId="0E67EDC3" w14:textId="77777777" w:rsidTr="0090085B">
        <w:trPr>
          <w:trHeight w:val="2062"/>
        </w:trPr>
        <w:tc>
          <w:tcPr>
            <w:tcW w:w="416" w:type="dxa"/>
            <w:shd w:val="clear" w:color="auto" w:fill="auto"/>
            <w:noWrap/>
            <w:vAlign w:val="center"/>
            <w:hideMark/>
          </w:tcPr>
          <w:p w14:paraId="1C6C401B" w14:textId="77777777" w:rsidR="00AE04F7"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2</w:t>
            </w:r>
          </w:p>
        </w:tc>
        <w:tc>
          <w:tcPr>
            <w:tcW w:w="992" w:type="dxa"/>
            <w:shd w:val="clear" w:color="auto" w:fill="auto"/>
            <w:hideMark/>
          </w:tcPr>
          <w:p w14:paraId="7FE41A68" w14:textId="07E32CAB" w:rsidR="00AE04F7" w:rsidRPr="000D52ED" w:rsidRDefault="00A32921"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Parte 2</w:t>
            </w:r>
            <w:r w:rsidR="00B42420" w:rsidRPr="000D52ED">
              <w:rPr>
                <w:rFonts w:ascii="Calibri" w:hAnsi="Calibri" w:cs="Calibri"/>
                <w:noProof/>
                <w:color w:val="000000"/>
                <w:sz w:val="16"/>
                <w:szCs w:val="16"/>
                <w:lang w:val="es-ES_tradnl" w:eastAsia="es-CO"/>
              </w:rPr>
              <w:t xml:space="preserve"> </w:t>
            </w:r>
            <w:r w:rsidR="00AE04F7" w:rsidRPr="000D52ED">
              <w:rPr>
                <w:rFonts w:ascii="Calibri" w:hAnsi="Calibri" w:cs="Calibri"/>
                <w:noProof/>
                <w:color w:val="000000"/>
                <w:sz w:val="16"/>
                <w:szCs w:val="16"/>
                <w:lang w:val="es-ES_tradnl" w:eastAsia="es-CO"/>
              </w:rPr>
              <w:t xml:space="preserve">Título 7 Capitulo 7 Artículo 2.2.7.7.15. </w:t>
            </w:r>
          </w:p>
        </w:tc>
        <w:tc>
          <w:tcPr>
            <w:tcW w:w="3402" w:type="dxa"/>
            <w:shd w:val="clear" w:color="auto" w:fill="auto"/>
            <w:hideMark/>
          </w:tcPr>
          <w:p w14:paraId="14CA767F" w14:textId="21925AC4" w:rsidR="0027479A"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b/>
                <w:bCs/>
                <w:noProof/>
                <w:color w:val="000000"/>
                <w:sz w:val="16"/>
                <w:szCs w:val="16"/>
                <w:lang w:val="es-ES_tradnl" w:eastAsia="es-CO"/>
              </w:rPr>
              <w:t>Artículo 2.2.7.7.15. Recomendaciones de la Comisión de Seguimiento.</w:t>
            </w:r>
            <w:r w:rsidRPr="000D52ED">
              <w:rPr>
                <w:rFonts w:ascii="Calibri" w:hAnsi="Calibri" w:cs="Calibri"/>
                <w:noProof/>
                <w:color w:val="000000"/>
                <w:sz w:val="16"/>
                <w:szCs w:val="16"/>
                <w:lang w:val="es-ES_tradnl" w:eastAsia="es-CO"/>
              </w:rPr>
              <w:t xml:space="preserve"> La Comisión de Seguimiento del Congreso de la República de que trata el artículo 202 de la Ley 1448 de 2011, presentará un análisis con recomendaciones al Congreso de la República dentro del año siguiente al 20 de diciembre de 2011, a efectos del cumplimiento de lo dispuesto en el literal r) del artículo 149 de la Ley 1448 de 2011.</w:t>
            </w:r>
          </w:p>
          <w:p w14:paraId="6CD5F65F" w14:textId="51362997" w:rsidR="0027479A" w:rsidRPr="000D52ED" w:rsidRDefault="00894A6A" w:rsidP="00CC58BB">
            <w:pPr>
              <w:jc w:val="both"/>
              <w:rPr>
                <w:rFonts w:ascii="Calibri" w:hAnsi="Calibri" w:cs="Calibri"/>
                <w:noProof/>
                <w:color w:val="0070C0"/>
                <w:sz w:val="16"/>
                <w:szCs w:val="16"/>
                <w:u w:val="single"/>
                <w:lang w:val="es-ES_tradnl" w:eastAsia="es-CO"/>
              </w:rPr>
            </w:pPr>
            <w:r w:rsidRPr="000D52ED">
              <w:rPr>
                <w:rFonts w:ascii="Calibri" w:hAnsi="Calibri" w:cs="Calibri"/>
                <w:noProof/>
                <w:color w:val="0070C0"/>
                <w:sz w:val="16"/>
                <w:szCs w:val="16"/>
                <w:u w:val="single"/>
                <w:lang w:val="es-ES_tradnl" w:eastAsia="es-CO"/>
              </w:rPr>
              <w:t>(</w:t>
            </w:r>
            <w:hyperlink r:id="rId9" w:anchor="ver_30110762" w:history="1">
              <w:r w:rsidRPr="000D52ED">
                <w:rPr>
                  <w:rFonts w:ascii="Calibri" w:hAnsi="Calibri" w:cs="Calibri"/>
                  <w:noProof/>
                  <w:color w:val="0070C0"/>
                  <w:sz w:val="16"/>
                  <w:szCs w:val="16"/>
                  <w:u w:val="single"/>
                  <w:lang w:val="es-ES_tradnl" w:eastAsia="es-CO"/>
                </w:rPr>
                <w:t>Decreto 4800 de 2011, artículo 207</w:t>
              </w:r>
            </w:hyperlink>
            <w:r w:rsidRPr="000D52ED">
              <w:rPr>
                <w:rFonts w:ascii="Calibri" w:hAnsi="Calibri" w:cs="Calibri"/>
                <w:noProof/>
                <w:color w:val="0070C0"/>
                <w:sz w:val="16"/>
                <w:szCs w:val="16"/>
                <w:u w:val="single"/>
                <w:lang w:val="es-ES_tradnl" w:eastAsia="es-CO"/>
              </w:rPr>
              <w:t>)</w:t>
            </w:r>
          </w:p>
        </w:tc>
        <w:tc>
          <w:tcPr>
            <w:tcW w:w="1134" w:type="dxa"/>
            <w:shd w:val="clear" w:color="auto" w:fill="auto"/>
            <w:hideMark/>
          </w:tcPr>
          <w:p w14:paraId="67599E9C" w14:textId="77777777" w:rsidR="00AE04F7"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b/>
                <w:bCs/>
                <w:noProof/>
                <w:color w:val="000000"/>
                <w:sz w:val="16"/>
                <w:szCs w:val="16"/>
                <w:lang w:val="es-ES_tradnl" w:eastAsia="es-CO"/>
              </w:rPr>
              <w:t>Agotamiento del plazo</w:t>
            </w:r>
            <w:r w:rsidRPr="000D52ED">
              <w:rPr>
                <w:rFonts w:ascii="Calibri" w:hAnsi="Calibri" w:cs="Calibri"/>
                <w:noProof/>
                <w:color w:val="000000"/>
                <w:sz w:val="16"/>
                <w:szCs w:val="16"/>
                <w:lang w:val="es-ES_tradnl" w:eastAsia="es-CO"/>
              </w:rPr>
              <w:t xml:space="preserve"> definido en las disposiciones o por ser transitoria </w:t>
            </w:r>
          </w:p>
        </w:tc>
        <w:tc>
          <w:tcPr>
            <w:tcW w:w="3118" w:type="dxa"/>
            <w:shd w:val="clear" w:color="auto" w:fill="auto"/>
            <w:hideMark/>
          </w:tcPr>
          <w:p w14:paraId="7426A980" w14:textId="1357591F" w:rsidR="00AE04F7" w:rsidRPr="000D52ED" w:rsidRDefault="002C4052"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Se propone la depuración del artículo en comento</w:t>
            </w:r>
            <w:r w:rsidR="009D1A75" w:rsidRPr="000D52ED">
              <w:rPr>
                <w:rFonts w:ascii="Calibri" w:hAnsi="Calibri" w:cs="Calibri"/>
                <w:noProof/>
                <w:color w:val="000000"/>
                <w:sz w:val="16"/>
                <w:szCs w:val="16"/>
                <w:lang w:val="es-ES_tradnl" w:eastAsia="es-CO"/>
              </w:rPr>
              <w:t>,</w:t>
            </w:r>
            <w:r w:rsidRPr="000D52ED">
              <w:rPr>
                <w:rFonts w:ascii="Calibri" w:hAnsi="Calibri" w:cs="Calibri"/>
                <w:noProof/>
                <w:color w:val="000000"/>
                <w:sz w:val="16"/>
                <w:szCs w:val="16"/>
                <w:lang w:val="es-ES_tradnl" w:eastAsia="es-CO"/>
              </w:rPr>
              <w:t xml:space="preserve"> </w:t>
            </w:r>
            <w:r w:rsidR="00AE04F7" w:rsidRPr="000D52ED">
              <w:rPr>
                <w:rFonts w:ascii="Calibri" w:hAnsi="Calibri" w:cs="Calibri"/>
                <w:noProof/>
                <w:color w:val="000000"/>
                <w:sz w:val="16"/>
                <w:szCs w:val="16"/>
                <w:lang w:val="es-ES_tradnl" w:eastAsia="es-CO"/>
              </w:rPr>
              <w:t xml:space="preserve">en </w:t>
            </w:r>
            <w:r w:rsidR="009D1A75" w:rsidRPr="000D52ED">
              <w:rPr>
                <w:rFonts w:ascii="Calibri" w:hAnsi="Calibri" w:cs="Calibri"/>
                <w:noProof/>
                <w:color w:val="000000"/>
                <w:sz w:val="16"/>
                <w:szCs w:val="16"/>
                <w:lang w:val="es-ES_tradnl" w:eastAsia="es-CO"/>
              </w:rPr>
              <w:t>la medida</w:t>
            </w:r>
            <w:r w:rsidR="007D7F57" w:rsidRPr="000D52ED">
              <w:rPr>
                <w:rFonts w:ascii="Calibri" w:hAnsi="Calibri" w:cs="Calibri"/>
                <w:noProof/>
                <w:color w:val="000000"/>
                <w:sz w:val="16"/>
                <w:szCs w:val="16"/>
                <w:lang w:val="es-ES_tradnl" w:eastAsia="es-CO"/>
              </w:rPr>
              <w:t xml:space="preserve"> que</w:t>
            </w:r>
            <w:r w:rsidR="00AE04F7" w:rsidRPr="000D52ED">
              <w:rPr>
                <w:rFonts w:ascii="Calibri" w:hAnsi="Calibri" w:cs="Calibri"/>
                <w:noProof/>
                <w:color w:val="000000"/>
                <w:sz w:val="16"/>
                <w:szCs w:val="16"/>
                <w:lang w:val="es-ES_tradnl" w:eastAsia="es-CO"/>
              </w:rPr>
              <w:t xml:space="preserve"> consagra la obligación en cabeza de la Comisión de Seguimiento del Congreso de la República de presentar un informe preliminar o inicial sobre la Ley 1448 de 2011, con un plazo que ya venció</w:t>
            </w:r>
            <w:r w:rsidR="00725843">
              <w:rPr>
                <w:rFonts w:ascii="Calibri" w:hAnsi="Calibri" w:cs="Calibri"/>
                <w:noProof/>
                <w:color w:val="000000"/>
                <w:sz w:val="16"/>
                <w:szCs w:val="16"/>
                <w:lang w:val="es-ES_tradnl" w:eastAsia="es-CO"/>
              </w:rPr>
              <w:t xml:space="preserve"> el 20 de diciembre de 2012</w:t>
            </w:r>
            <w:r w:rsidR="00AE04F7" w:rsidRPr="000D52ED">
              <w:rPr>
                <w:rFonts w:ascii="Calibri" w:hAnsi="Calibri" w:cs="Calibri"/>
                <w:noProof/>
                <w:color w:val="000000"/>
                <w:sz w:val="16"/>
                <w:szCs w:val="16"/>
                <w:lang w:val="es-ES_tradnl" w:eastAsia="es-CO"/>
              </w:rPr>
              <w:t>.</w:t>
            </w:r>
          </w:p>
        </w:tc>
      </w:tr>
      <w:tr w:rsidR="00AE04F7" w:rsidRPr="00CA558D" w14:paraId="2C566F47" w14:textId="77777777" w:rsidTr="0090085B">
        <w:trPr>
          <w:trHeight w:val="6432"/>
        </w:trPr>
        <w:tc>
          <w:tcPr>
            <w:tcW w:w="416" w:type="dxa"/>
            <w:shd w:val="clear" w:color="auto" w:fill="auto"/>
            <w:noWrap/>
            <w:vAlign w:val="center"/>
            <w:hideMark/>
          </w:tcPr>
          <w:p w14:paraId="44190E3B" w14:textId="77777777" w:rsidR="00AE04F7"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lastRenderedPageBreak/>
              <w:t>3</w:t>
            </w:r>
          </w:p>
        </w:tc>
        <w:tc>
          <w:tcPr>
            <w:tcW w:w="992" w:type="dxa"/>
            <w:shd w:val="clear" w:color="auto" w:fill="auto"/>
            <w:hideMark/>
          </w:tcPr>
          <w:p w14:paraId="1043D6B6" w14:textId="393D742F" w:rsidR="00AE04F7"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Parte 2 - Título 8 - Capitulo 3- Artículo 2.2.8.3.1.</w:t>
            </w:r>
            <w:r w:rsidR="00725843">
              <w:rPr>
                <w:rFonts w:ascii="Calibri" w:hAnsi="Calibri" w:cs="Calibri"/>
                <w:noProof/>
                <w:color w:val="000000"/>
                <w:sz w:val="16"/>
                <w:szCs w:val="16"/>
                <w:lang w:val="es-ES_tradnl" w:eastAsia="es-CO"/>
              </w:rPr>
              <w:t xml:space="preserve"> Parágrafo 2.</w:t>
            </w:r>
          </w:p>
        </w:tc>
        <w:tc>
          <w:tcPr>
            <w:tcW w:w="3402" w:type="dxa"/>
            <w:shd w:val="clear" w:color="auto" w:fill="auto"/>
            <w:hideMark/>
          </w:tcPr>
          <w:p w14:paraId="7139ACF9" w14:textId="33C8EB2E" w:rsidR="00AE04F7"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b/>
                <w:bCs/>
                <w:noProof/>
                <w:color w:val="000000"/>
                <w:sz w:val="16"/>
                <w:szCs w:val="16"/>
                <w:lang w:val="es-ES_tradnl" w:eastAsia="es-CO"/>
              </w:rPr>
              <w:t>Artículo 2.2.8.3.1. Planes de acción territorial para la asistencia, atención y reparación integral de las víctimas.</w:t>
            </w:r>
            <w:r w:rsidRPr="000D52ED">
              <w:rPr>
                <w:rFonts w:ascii="Calibri" w:hAnsi="Calibri" w:cs="Calibri"/>
                <w:noProof/>
                <w:color w:val="000000"/>
                <w:sz w:val="16"/>
                <w:szCs w:val="16"/>
                <w:lang w:val="es-ES_tradnl" w:eastAsia="es-CO"/>
              </w:rPr>
              <w:t xml:space="preserve"> Los planes de acción territorial contemplan las medidas de asistencia, atención y reparación integral de las víctimas. Los planes serán elaborados por los departamentos, municipios y distritos con la participación de las víctimas. Deben ser coherentes con el Plan Nacional de Atención y Reparación Integral a las Víctimas y con los Planes de Desarrollo Territoriales. Contendrán como mínimo, la caracterización de las víctimas de la respectiva jurisdicción que considerará los distintos hechos victimizantes, la asignación presupuestal correspondiente, así como el mecanismo de seguimiento y de evaluación con metas e indicadores.</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br/>
              <w:t>Parágrafo 1. Para cada vigencia fiscal, las entidades del nivel nacional presentarán a las entidades territoriales, la oferta programática en materia de prevención, asistencia, atención y reparación integral de las víctimas, para que sea incorporada en los planes de acción territorial. Los planes, programas y proyectos de la oferta programática deben considerar las características particulares de las entidades territoriales y la situación de las víctimas en las mismas.</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br/>
            </w:r>
            <w:r w:rsidRPr="000D52ED">
              <w:rPr>
                <w:rFonts w:ascii="Calibri" w:hAnsi="Calibri" w:cs="Calibri"/>
                <w:b/>
                <w:bCs/>
                <w:noProof/>
                <w:color w:val="000000"/>
                <w:sz w:val="16"/>
                <w:szCs w:val="16"/>
                <w:lang w:val="es-ES_tradnl" w:eastAsia="es-CO"/>
              </w:rPr>
              <w:t>Parágrafo 2. El Plan Integral Único para la atención de la población desplazada hace parte del plan de acción territorial.</w:t>
            </w:r>
          </w:p>
          <w:p w14:paraId="1694AE50" w14:textId="77777777" w:rsidR="0079254B" w:rsidRPr="000D52ED" w:rsidRDefault="0079254B" w:rsidP="0079254B">
            <w:pPr>
              <w:jc w:val="both"/>
              <w:rPr>
                <w:rFonts w:ascii="Calibri" w:hAnsi="Calibri" w:cs="Calibri"/>
                <w:noProof/>
                <w:color w:val="0070C0"/>
                <w:sz w:val="16"/>
                <w:szCs w:val="16"/>
                <w:u w:val="single"/>
                <w:lang w:val="es-ES_tradnl" w:eastAsia="es-CO"/>
              </w:rPr>
            </w:pPr>
            <w:r w:rsidRPr="000D52ED">
              <w:rPr>
                <w:rFonts w:ascii="Calibri" w:hAnsi="Calibri" w:cs="Calibri"/>
                <w:noProof/>
                <w:color w:val="0070C0"/>
                <w:sz w:val="16"/>
                <w:szCs w:val="16"/>
                <w:u w:val="single"/>
                <w:lang w:val="es-ES_tradnl" w:eastAsia="es-CO"/>
              </w:rPr>
              <w:t>(</w:t>
            </w:r>
            <w:hyperlink r:id="rId10" w:anchor="ver_30110762" w:history="1">
              <w:r w:rsidRPr="000D52ED">
                <w:rPr>
                  <w:rFonts w:ascii="Calibri" w:hAnsi="Calibri" w:cs="Calibri"/>
                  <w:noProof/>
                  <w:color w:val="0070C0"/>
                  <w:sz w:val="16"/>
                  <w:szCs w:val="16"/>
                  <w:u w:val="single"/>
                  <w:lang w:val="es-ES_tradnl" w:eastAsia="es-CO"/>
                </w:rPr>
                <w:t>Decreto 4800 de 2011, artículo 254</w:t>
              </w:r>
            </w:hyperlink>
            <w:r w:rsidRPr="000D52ED">
              <w:rPr>
                <w:rFonts w:ascii="Calibri" w:hAnsi="Calibri" w:cs="Calibri"/>
                <w:noProof/>
                <w:color w:val="0070C0"/>
                <w:sz w:val="16"/>
                <w:szCs w:val="16"/>
                <w:u w:val="single"/>
                <w:lang w:val="es-ES_tradnl" w:eastAsia="es-CO"/>
              </w:rPr>
              <w:t>)</w:t>
            </w:r>
          </w:p>
          <w:p w14:paraId="1590BF77" w14:textId="72DBB19C" w:rsidR="00076E8C" w:rsidRPr="000D52ED" w:rsidRDefault="00076E8C" w:rsidP="00E16D5F">
            <w:pPr>
              <w:jc w:val="both"/>
              <w:rPr>
                <w:rFonts w:ascii="Calibri" w:hAnsi="Calibri" w:cs="Calibri"/>
                <w:noProof/>
                <w:color w:val="000000"/>
                <w:sz w:val="16"/>
                <w:szCs w:val="16"/>
                <w:lang w:val="es-ES_tradnl" w:eastAsia="es-CO"/>
              </w:rPr>
            </w:pPr>
          </w:p>
        </w:tc>
        <w:tc>
          <w:tcPr>
            <w:tcW w:w="1134" w:type="dxa"/>
            <w:shd w:val="clear" w:color="auto" w:fill="auto"/>
            <w:hideMark/>
          </w:tcPr>
          <w:p w14:paraId="6D0DE64F" w14:textId="77777777" w:rsidR="00AE04F7" w:rsidRPr="000D52ED" w:rsidRDefault="00AE04F7" w:rsidP="00E16D5F">
            <w:pPr>
              <w:jc w:val="both"/>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Obsolescencia</w:t>
            </w:r>
          </w:p>
        </w:tc>
        <w:tc>
          <w:tcPr>
            <w:tcW w:w="3118" w:type="dxa"/>
            <w:shd w:val="clear" w:color="auto" w:fill="auto"/>
            <w:hideMark/>
          </w:tcPr>
          <w:p w14:paraId="204DB161" w14:textId="4059A033" w:rsidR="00DE1062" w:rsidRPr="000D52ED" w:rsidRDefault="00DE1062" w:rsidP="00DE1062">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De acuerdo con la metodología de depuración, el criterio de </w:t>
            </w:r>
            <w:r w:rsidR="00EC7197" w:rsidRPr="000D52ED">
              <w:rPr>
                <w:rFonts w:ascii="Calibri" w:hAnsi="Calibri" w:cs="Calibri"/>
                <w:noProof/>
                <w:color w:val="000000"/>
                <w:sz w:val="16"/>
                <w:szCs w:val="16"/>
                <w:lang w:val="es-ES_tradnl" w:eastAsia="es-CO"/>
              </w:rPr>
              <w:t>obsolescencia</w:t>
            </w:r>
            <w:r w:rsidRPr="000D52ED">
              <w:rPr>
                <w:rFonts w:ascii="Calibri" w:hAnsi="Calibri" w:cs="Calibri"/>
                <w:noProof/>
                <w:color w:val="000000"/>
                <w:sz w:val="16"/>
                <w:szCs w:val="16"/>
                <w:lang w:val="es-ES_tradnl" w:eastAsia="es-CO"/>
              </w:rPr>
              <w:t xml:space="preserve"> hace referencia a las disposiciones normativas anticuadas o inadecuadas a las circunstancias actuales, o cuando su aplicación es imposible a la luz de la realidad social, económica, cultural, política o tecnológica del país, y por ende no es aplicable en la actualidad.</w:t>
            </w:r>
          </w:p>
          <w:p w14:paraId="5965C873" w14:textId="77777777" w:rsidR="00DE1062" w:rsidRPr="000D52ED" w:rsidRDefault="00DE1062" w:rsidP="00DE1062">
            <w:pPr>
              <w:jc w:val="both"/>
              <w:rPr>
                <w:rFonts w:ascii="Calibri" w:hAnsi="Calibri" w:cs="Calibri"/>
                <w:noProof/>
                <w:color w:val="000000"/>
                <w:sz w:val="16"/>
                <w:szCs w:val="16"/>
                <w:lang w:val="es-ES_tradnl" w:eastAsia="es-CO"/>
              </w:rPr>
            </w:pPr>
          </w:p>
          <w:p w14:paraId="02BE8FFB" w14:textId="61AA3ADA" w:rsidR="00DE1062" w:rsidRPr="000D52ED" w:rsidRDefault="00DE1062" w:rsidP="00DE1062">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En ese orden de ideas, la eliminación del Parágrafo 2 del Artículo 2.2.8.3.1 del Decreto Único Reglamentario 1084 de 2015, se justifica toda vez que </w:t>
            </w:r>
            <w:r w:rsidR="00725843">
              <w:rPr>
                <w:rFonts w:ascii="Calibri" w:hAnsi="Calibri" w:cs="Calibri"/>
                <w:noProof/>
                <w:color w:val="000000"/>
                <w:sz w:val="16"/>
                <w:szCs w:val="16"/>
                <w:lang w:val="es-ES_tradnl" w:eastAsia="es-CO"/>
              </w:rPr>
              <w:t>la disposición</w:t>
            </w:r>
            <w:r w:rsidRPr="000D52ED">
              <w:rPr>
                <w:rFonts w:ascii="Calibri" w:hAnsi="Calibri" w:cs="Calibri"/>
                <w:noProof/>
                <w:color w:val="000000"/>
                <w:sz w:val="16"/>
                <w:szCs w:val="16"/>
                <w:lang w:val="es-ES_tradnl" w:eastAsia="es-CO"/>
              </w:rPr>
              <w:t xml:space="preserve"> en </w:t>
            </w:r>
            <w:r w:rsidR="00B04E8A" w:rsidRPr="000D52ED">
              <w:rPr>
                <w:rFonts w:ascii="Calibri" w:hAnsi="Calibri" w:cs="Calibri"/>
                <w:noProof/>
                <w:color w:val="000000"/>
                <w:sz w:val="16"/>
                <w:szCs w:val="16"/>
                <w:lang w:val="es-ES_tradnl" w:eastAsia="es-CO"/>
              </w:rPr>
              <w:t>mención indica</w:t>
            </w:r>
            <w:r w:rsidRPr="000D52ED">
              <w:rPr>
                <w:rFonts w:ascii="Calibri" w:hAnsi="Calibri" w:cs="Calibri"/>
                <w:noProof/>
                <w:color w:val="000000"/>
                <w:sz w:val="16"/>
                <w:szCs w:val="16"/>
                <w:lang w:val="es-ES_tradnl" w:eastAsia="es-CO"/>
              </w:rPr>
              <w:t xml:space="preserve"> que </w:t>
            </w:r>
            <w:r w:rsidR="00725843">
              <w:rPr>
                <w:rFonts w:ascii="Calibri" w:hAnsi="Calibri" w:cs="Calibri"/>
                <w:noProof/>
                <w:color w:val="000000"/>
                <w:sz w:val="16"/>
                <w:szCs w:val="16"/>
                <w:lang w:val="es-ES_tradnl" w:eastAsia="es-CO"/>
              </w:rPr>
              <w:t>e</w:t>
            </w:r>
            <w:r w:rsidR="00B04E8A" w:rsidRPr="000D52ED">
              <w:rPr>
                <w:rFonts w:ascii="Calibri" w:hAnsi="Calibri" w:cs="Calibri"/>
                <w:noProof/>
                <w:color w:val="000000"/>
                <w:sz w:val="16"/>
                <w:szCs w:val="16"/>
                <w:lang w:val="es-ES_tradnl" w:eastAsia="es-CO"/>
              </w:rPr>
              <w:t xml:space="preserve">l Plan Integral Único </w:t>
            </w:r>
            <w:r w:rsidRPr="000D52ED">
              <w:rPr>
                <w:rFonts w:ascii="Calibri" w:hAnsi="Calibri" w:cs="Calibri"/>
                <w:noProof/>
                <w:color w:val="000000"/>
                <w:sz w:val="16"/>
                <w:szCs w:val="16"/>
                <w:lang w:val="es-ES_tradnl" w:eastAsia="es-CO"/>
              </w:rPr>
              <w:t>para la atención de la población desplazada, hace parte del plan de acción territorial.</w:t>
            </w:r>
            <w:r w:rsidR="00725843">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 xml:space="preserve">Sin </w:t>
            </w:r>
            <w:r w:rsidR="00B04E8A" w:rsidRPr="000D52ED">
              <w:rPr>
                <w:rFonts w:ascii="Calibri" w:hAnsi="Calibri" w:cs="Calibri"/>
                <w:noProof/>
                <w:color w:val="000000"/>
                <w:sz w:val="16"/>
                <w:szCs w:val="16"/>
                <w:lang w:val="es-ES_tradnl" w:eastAsia="es-CO"/>
              </w:rPr>
              <w:t>embargo,</w:t>
            </w:r>
            <w:r w:rsidRPr="000D52ED">
              <w:rPr>
                <w:rFonts w:ascii="Calibri" w:hAnsi="Calibri" w:cs="Calibri"/>
                <w:noProof/>
                <w:color w:val="000000"/>
                <w:sz w:val="16"/>
                <w:szCs w:val="16"/>
                <w:lang w:val="es-ES_tradnl" w:eastAsia="es-CO"/>
              </w:rPr>
              <w:t xml:space="preserve"> a partir de la expedición de la Ley 1448 de 2011, ya no se realiza el plan integral único para la atención de la población desplazada, pues en su lugar se realizan planes de acción territoriales que se refieren en general a las víctimas del conflicto armado interno y debe</w:t>
            </w:r>
            <w:r w:rsidR="00725843">
              <w:rPr>
                <w:rFonts w:ascii="Calibri" w:hAnsi="Calibri" w:cs="Calibri"/>
                <w:noProof/>
                <w:color w:val="000000"/>
                <w:sz w:val="16"/>
                <w:szCs w:val="16"/>
                <w:lang w:val="es-ES_tradnl" w:eastAsia="es-CO"/>
              </w:rPr>
              <w:t>n</w:t>
            </w:r>
            <w:r w:rsidRPr="000D52ED">
              <w:rPr>
                <w:rFonts w:ascii="Calibri" w:hAnsi="Calibri" w:cs="Calibri"/>
                <w:noProof/>
                <w:color w:val="000000"/>
                <w:sz w:val="16"/>
                <w:szCs w:val="16"/>
                <w:lang w:val="es-ES_tradnl" w:eastAsia="es-CO"/>
              </w:rPr>
              <w:t xml:space="preserve"> contemplar las medidas de asistencia, atención y reparación integral de las víctimas. </w:t>
            </w:r>
          </w:p>
          <w:p w14:paraId="7DF9EAFF" w14:textId="4C4BE0B3" w:rsidR="00DE1062" w:rsidRPr="000D52ED" w:rsidRDefault="00DE1062" w:rsidP="00DE1062">
            <w:pPr>
              <w:jc w:val="both"/>
              <w:rPr>
                <w:rFonts w:ascii="Calibri" w:hAnsi="Calibri" w:cs="Calibri"/>
                <w:noProof/>
                <w:color w:val="000000"/>
                <w:sz w:val="16"/>
                <w:szCs w:val="16"/>
                <w:lang w:val="es-ES_tradnl" w:eastAsia="es-CO"/>
              </w:rPr>
            </w:pPr>
          </w:p>
          <w:p w14:paraId="7FB5D30B" w14:textId="5AA09B14" w:rsidR="00DE1062" w:rsidRDefault="00B04E8A" w:rsidP="00DE1062">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Es de precisar que la figura del plan integral único era la herramienta de planeación</w:t>
            </w:r>
            <w:r w:rsidR="004D683A" w:rsidRPr="000D52ED">
              <w:rPr>
                <w:rFonts w:ascii="Calibri" w:hAnsi="Calibri" w:cs="Calibri"/>
                <w:noProof/>
                <w:color w:val="000000"/>
                <w:sz w:val="16"/>
                <w:szCs w:val="16"/>
                <w:lang w:val="es-ES_tradnl" w:eastAsia="es-CO"/>
              </w:rPr>
              <w:t xml:space="preserve"> por la cual se coordinaba con los comités departamentales, municipales y distritales, las acciones dirigidas a garantizar el compromiso de los entes territoriales en el cumplimiento y materialización de los derechos de la población desplazada por la violencia que se encuentren en sus respectivas jurisdicciones, conforme lo disponía Ley</w:t>
            </w:r>
            <w:r w:rsidRPr="000D52ED">
              <w:rPr>
                <w:rFonts w:ascii="Calibri" w:hAnsi="Calibri" w:cs="Calibri"/>
                <w:noProof/>
                <w:color w:val="000000"/>
                <w:sz w:val="16"/>
                <w:szCs w:val="16"/>
                <w:lang w:val="es-ES_tradnl" w:eastAsia="es-CO"/>
              </w:rPr>
              <w:t xml:space="preserve"> 1190 de 2008</w:t>
            </w:r>
            <w:r w:rsidR="004D683A" w:rsidRPr="000D52ED">
              <w:rPr>
                <w:rFonts w:ascii="Calibri" w:hAnsi="Calibri" w:cs="Calibri"/>
                <w:noProof/>
                <w:color w:val="000000"/>
                <w:sz w:val="16"/>
                <w:szCs w:val="16"/>
                <w:lang w:val="es-ES_tradnl" w:eastAsia="es-CO"/>
              </w:rPr>
              <w:t>, en el marco de Consejo Nacional para la Atención Integral a la Población Desplazada por la Violencia.</w:t>
            </w:r>
          </w:p>
          <w:p w14:paraId="246BECA5" w14:textId="77777777" w:rsidR="00725843" w:rsidRPr="000D52ED" w:rsidRDefault="00725843" w:rsidP="00DE1062">
            <w:pPr>
              <w:jc w:val="both"/>
              <w:rPr>
                <w:rFonts w:ascii="Calibri" w:hAnsi="Calibri" w:cs="Calibri"/>
                <w:noProof/>
                <w:color w:val="000000"/>
                <w:sz w:val="16"/>
                <w:szCs w:val="16"/>
                <w:lang w:val="es-ES_tradnl" w:eastAsia="es-CO"/>
              </w:rPr>
            </w:pPr>
          </w:p>
          <w:p w14:paraId="30C7BD65" w14:textId="6C120D02" w:rsidR="00DE1062" w:rsidRPr="000D52ED" w:rsidRDefault="004D683A" w:rsidP="00DE1062">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Ahora bien, </w:t>
            </w:r>
            <w:r w:rsidR="00DE1062" w:rsidRPr="000D52ED">
              <w:rPr>
                <w:rFonts w:ascii="Calibri" w:hAnsi="Calibri" w:cs="Calibri"/>
                <w:noProof/>
                <w:color w:val="000000"/>
                <w:sz w:val="16"/>
                <w:szCs w:val="16"/>
                <w:lang w:val="es-ES_tradnl" w:eastAsia="es-CO"/>
              </w:rPr>
              <w:t>la norma tenía sentido en el momento de la transición</w:t>
            </w:r>
            <w:r w:rsidRPr="000D52ED">
              <w:rPr>
                <w:rFonts w:ascii="Calibri" w:hAnsi="Calibri" w:cs="Calibri"/>
                <w:noProof/>
                <w:color w:val="000000"/>
                <w:sz w:val="16"/>
                <w:szCs w:val="16"/>
                <w:lang w:val="es-ES_tradnl" w:eastAsia="es-CO"/>
              </w:rPr>
              <w:t xml:space="preserve"> con la expedición de la ley 1448 de 2011</w:t>
            </w:r>
            <w:r w:rsidR="00DE1062"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pues se</w:t>
            </w:r>
            <w:r w:rsidR="00DE1062" w:rsidRPr="000D52ED">
              <w:rPr>
                <w:rFonts w:ascii="Calibri" w:hAnsi="Calibri" w:cs="Calibri"/>
                <w:noProof/>
                <w:color w:val="000000"/>
                <w:sz w:val="16"/>
                <w:szCs w:val="16"/>
                <w:lang w:val="es-ES_tradnl" w:eastAsia="es-CO"/>
              </w:rPr>
              <w:t xml:space="preserve"> encontraban en curso planes integrales únicos, pero actualmente esta es una herramienta que no se </w:t>
            </w:r>
            <w:r w:rsidRPr="000D52ED">
              <w:rPr>
                <w:rFonts w:ascii="Calibri" w:hAnsi="Calibri" w:cs="Calibri"/>
                <w:noProof/>
                <w:color w:val="000000"/>
                <w:sz w:val="16"/>
                <w:szCs w:val="16"/>
                <w:lang w:val="es-ES_tradnl" w:eastAsia="es-CO"/>
              </w:rPr>
              <w:t>utiliza para los fines consagrados en este artículo</w:t>
            </w:r>
            <w:r w:rsidR="00DE1062" w:rsidRPr="000D52ED">
              <w:rPr>
                <w:rFonts w:ascii="Calibri" w:hAnsi="Calibri" w:cs="Calibri"/>
                <w:noProof/>
                <w:color w:val="000000"/>
                <w:sz w:val="16"/>
                <w:szCs w:val="16"/>
                <w:lang w:val="es-ES_tradnl" w:eastAsia="es-CO"/>
              </w:rPr>
              <w:t>.</w:t>
            </w:r>
            <w:r w:rsidR="00EC7197" w:rsidRPr="000D52ED">
              <w:rPr>
                <w:rFonts w:ascii="Calibri" w:hAnsi="Calibri" w:cs="Calibri"/>
                <w:noProof/>
                <w:color w:val="000000"/>
                <w:sz w:val="16"/>
                <w:szCs w:val="16"/>
                <w:lang w:val="es-ES_tradnl" w:eastAsia="es-CO"/>
              </w:rPr>
              <w:t xml:space="preserve"> </w:t>
            </w:r>
          </w:p>
          <w:p w14:paraId="6CC3C3D0" w14:textId="2D3BE758" w:rsidR="004D683A" w:rsidRPr="000D52ED" w:rsidRDefault="004D683A" w:rsidP="00DE1062">
            <w:pPr>
              <w:jc w:val="both"/>
              <w:rPr>
                <w:rFonts w:ascii="Calibri" w:hAnsi="Calibri" w:cs="Calibri"/>
                <w:noProof/>
                <w:color w:val="000000"/>
                <w:sz w:val="16"/>
                <w:szCs w:val="16"/>
                <w:lang w:val="es-ES_tradnl" w:eastAsia="es-CO"/>
              </w:rPr>
            </w:pPr>
          </w:p>
          <w:p w14:paraId="45A1EBE0" w14:textId="5E6A3EF5" w:rsidR="00EC7197" w:rsidRPr="000D52ED" w:rsidRDefault="004D683A" w:rsidP="004D683A">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Adicional a lo anterior, el</w:t>
            </w:r>
            <w:r w:rsidR="00DE1062" w:rsidRPr="000D52ED">
              <w:rPr>
                <w:rFonts w:ascii="Calibri" w:hAnsi="Calibri" w:cs="Calibri"/>
                <w:noProof/>
                <w:color w:val="000000"/>
                <w:sz w:val="16"/>
                <w:szCs w:val="16"/>
                <w:lang w:val="es-ES_tradnl" w:eastAsia="es-CO"/>
              </w:rPr>
              <w:t xml:space="preserve"> </w:t>
            </w:r>
            <w:r w:rsidR="00725843">
              <w:rPr>
                <w:rFonts w:ascii="Calibri" w:hAnsi="Calibri" w:cs="Calibri"/>
                <w:noProof/>
                <w:color w:val="000000"/>
                <w:sz w:val="16"/>
                <w:szCs w:val="16"/>
                <w:lang w:val="es-ES_tradnl" w:eastAsia="es-CO"/>
              </w:rPr>
              <w:t>a</w:t>
            </w:r>
            <w:r w:rsidR="00DE1062" w:rsidRPr="000D52ED">
              <w:rPr>
                <w:rFonts w:ascii="Calibri" w:hAnsi="Calibri" w:cs="Calibri"/>
                <w:noProof/>
                <w:color w:val="000000"/>
                <w:sz w:val="16"/>
                <w:szCs w:val="16"/>
                <w:lang w:val="es-ES_tradnl" w:eastAsia="es-CO"/>
              </w:rPr>
              <w:t xml:space="preserve">rtículo 4° del Decreto 790 de 2012, </w:t>
            </w:r>
            <w:r w:rsidRPr="000D52ED">
              <w:rPr>
                <w:rFonts w:ascii="Calibri" w:hAnsi="Calibri" w:cs="Calibri"/>
                <w:noProof/>
                <w:color w:val="000000"/>
                <w:sz w:val="16"/>
                <w:szCs w:val="16"/>
                <w:lang w:val="es-ES_tradnl" w:eastAsia="es-CO"/>
              </w:rPr>
              <w:t xml:space="preserve">señala que </w:t>
            </w:r>
            <w:r w:rsidR="00DE1062" w:rsidRPr="000D52ED">
              <w:rPr>
                <w:rFonts w:ascii="Calibri" w:hAnsi="Calibri" w:cs="Calibri"/>
                <w:noProof/>
                <w:color w:val="000000"/>
                <w:sz w:val="16"/>
                <w:szCs w:val="16"/>
                <w:lang w:val="es-ES_tradnl" w:eastAsia="es-CO"/>
              </w:rPr>
              <w:t xml:space="preserve">las funciones asignadas a las instancias </w:t>
            </w:r>
            <w:r w:rsidRPr="000D52ED">
              <w:rPr>
                <w:rFonts w:ascii="Calibri" w:hAnsi="Calibri" w:cs="Calibri"/>
                <w:noProof/>
                <w:color w:val="000000"/>
                <w:sz w:val="16"/>
                <w:szCs w:val="16"/>
                <w:lang w:val="es-ES_tradnl" w:eastAsia="es-CO"/>
              </w:rPr>
              <w:t>de manera expresa que “</w:t>
            </w:r>
            <w:r w:rsidR="00DE1062" w:rsidRPr="000D52ED">
              <w:rPr>
                <w:rFonts w:ascii="Calibri" w:hAnsi="Calibri" w:cs="Calibri"/>
                <w:noProof/>
                <w:color w:val="000000"/>
                <w:sz w:val="16"/>
                <w:szCs w:val="16"/>
                <w:lang w:val="es-ES_tradnl" w:eastAsia="es-CO"/>
              </w:rPr>
              <w:t>Los planes de acción deberán contener los elementos de los Planes Integrales Único</w:t>
            </w:r>
            <w:r w:rsidR="00EC7197" w:rsidRPr="000D52ED">
              <w:rPr>
                <w:rFonts w:ascii="Calibri" w:hAnsi="Calibri" w:cs="Calibri"/>
                <w:noProof/>
                <w:color w:val="000000"/>
                <w:sz w:val="16"/>
                <w:szCs w:val="16"/>
                <w:lang w:val="es-ES_tradnl" w:eastAsia="es-CO"/>
              </w:rPr>
              <w:t>” es decir actualmente no se realiza el plan integral único de manera independiente sino que es uno de los elementos que contienen los planes de acción territoriales.</w:t>
            </w:r>
          </w:p>
          <w:p w14:paraId="494959BD" w14:textId="54F883EB" w:rsidR="00DE1062" w:rsidRPr="000D52ED" w:rsidRDefault="00DE1062" w:rsidP="00EC7197">
            <w:pPr>
              <w:jc w:val="both"/>
              <w:rPr>
                <w:rFonts w:ascii="Calibri" w:hAnsi="Calibri" w:cs="Calibri"/>
                <w:noProof/>
                <w:color w:val="000000"/>
                <w:sz w:val="16"/>
                <w:szCs w:val="16"/>
                <w:lang w:val="es-ES_tradnl" w:eastAsia="es-CO"/>
              </w:rPr>
            </w:pPr>
          </w:p>
        </w:tc>
      </w:tr>
      <w:tr w:rsidR="00AE04F7" w:rsidRPr="00CA558D" w14:paraId="4ED68A3A" w14:textId="77777777" w:rsidTr="0090085B">
        <w:trPr>
          <w:trHeight w:val="1622"/>
        </w:trPr>
        <w:tc>
          <w:tcPr>
            <w:tcW w:w="416" w:type="dxa"/>
            <w:shd w:val="clear" w:color="auto" w:fill="auto"/>
            <w:noWrap/>
            <w:vAlign w:val="center"/>
            <w:hideMark/>
          </w:tcPr>
          <w:p w14:paraId="0AF7D1AF" w14:textId="77777777" w:rsidR="00AE04F7"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4</w:t>
            </w:r>
          </w:p>
        </w:tc>
        <w:tc>
          <w:tcPr>
            <w:tcW w:w="992" w:type="dxa"/>
            <w:shd w:val="clear" w:color="auto" w:fill="auto"/>
            <w:hideMark/>
          </w:tcPr>
          <w:p w14:paraId="30553A3E" w14:textId="77777777" w:rsidR="00A63D2D"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Parte 2 </w:t>
            </w:r>
          </w:p>
          <w:p w14:paraId="6033E6B6" w14:textId="4DB83EFC" w:rsidR="00AE04F7"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Titulo 11 Capitulo 5 Artículo 2.2.11.5.1</w:t>
            </w:r>
          </w:p>
        </w:tc>
        <w:tc>
          <w:tcPr>
            <w:tcW w:w="3402" w:type="dxa"/>
            <w:shd w:val="clear" w:color="auto" w:fill="auto"/>
            <w:hideMark/>
          </w:tcPr>
          <w:p w14:paraId="6789CD4B" w14:textId="77777777" w:rsidR="00AE04F7"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b/>
                <w:bCs/>
                <w:noProof/>
                <w:color w:val="000000"/>
                <w:sz w:val="16"/>
                <w:szCs w:val="16"/>
                <w:lang w:val="es-ES_tradnl" w:eastAsia="es-CO"/>
              </w:rPr>
              <w:t>Artículo 2.2.11.5.1. Adopción del plan.</w:t>
            </w:r>
            <w:r w:rsidRPr="000D52ED">
              <w:rPr>
                <w:rFonts w:ascii="Calibri" w:hAnsi="Calibri" w:cs="Calibri"/>
                <w:noProof/>
                <w:color w:val="000000"/>
                <w:sz w:val="16"/>
                <w:szCs w:val="16"/>
                <w:lang w:val="es-ES_tradnl" w:eastAsia="es-CO"/>
              </w:rPr>
              <w:t xml:space="preserve"> A partir del 8 de febrero de 2005, </w:t>
            </w:r>
            <w:r w:rsidR="00EF012E" w:rsidRPr="000D52ED">
              <w:rPr>
                <w:rFonts w:ascii="Calibri" w:hAnsi="Calibri" w:cs="Calibri"/>
                <w:noProof/>
                <w:color w:val="000000"/>
                <w:sz w:val="16"/>
                <w:szCs w:val="16"/>
                <w:lang w:val="es-ES_tradnl" w:eastAsia="es-CO"/>
              </w:rPr>
              <w:t>adoptase</w:t>
            </w:r>
            <w:r w:rsidRPr="000D52ED">
              <w:rPr>
                <w:rFonts w:ascii="Calibri" w:hAnsi="Calibri" w:cs="Calibri"/>
                <w:noProof/>
                <w:color w:val="000000"/>
                <w:sz w:val="16"/>
                <w:szCs w:val="16"/>
                <w:lang w:val="es-ES_tradnl" w:eastAsia="es-CO"/>
              </w:rPr>
              <w:t xml:space="preserve"> en todas sus partes el Plan Nacional para la Atención Integral a la Población Desplazada por la Violencia.</w:t>
            </w:r>
          </w:p>
          <w:p w14:paraId="3C9EE5D2" w14:textId="77777777" w:rsidR="00B0549E" w:rsidRPr="000D52ED" w:rsidRDefault="00B0549E" w:rsidP="00E16D5F">
            <w:pPr>
              <w:jc w:val="both"/>
              <w:rPr>
                <w:rFonts w:ascii="Calibri" w:hAnsi="Calibri" w:cs="Calibri"/>
                <w:noProof/>
                <w:color w:val="000000"/>
                <w:sz w:val="16"/>
                <w:szCs w:val="16"/>
                <w:lang w:val="es-ES_tradnl" w:eastAsia="es-CO"/>
              </w:rPr>
            </w:pPr>
          </w:p>
          <w:p w14:paraId="36E380F5" w14:textId="77777777" w:rsidR="00764736" w:rsidRPr="000D52ED" w:rsidRDefault="00764736" w:rsidP="00764736">
            <w:pPr>
              <w:jc w:val="both"/>
              <w:rPr>
                <w:rFonts w:ascii="Calibri" w:hAnsi="Calibri" w:cs="Calibri"/>
                <w:noProof/>
                <w:color w:val="0070C0"/>
                <w:sz w:val="16"/>
                <w:szCs w:val="16"/>
                <w:u w:val="single"/>
                <w:lang w:val="es-ES_tradnl" w:eastAsia="es-CO"/>
              </w:rPr>
            </w:pPr>
            <w:r w:rsidRPr="000D52ED">
              <w:rPr>
                <w:rFonts w:ascii="Calibri" w:hAnsi="Calibri" w:cs="Calibri"/>
                <w:noProof/>
                <w:color w:val="0070C0"/>
                <w:sz w:val="16"/>
                <w:szCs w:val="16"/>
                <w:u w:val="single"/>
                <w:lang w:val="es-ES_tradnl" w:eastAsia="es-CO"/>
              </w:rPr>
              <w:t>(</w:t>
            </w:r>
            <w:hyperlink r:id="rId11" w:history="1">
              <w:r w:rsidRPr="000D52ED">
                <w:rPr>
                  <w:rFonts w:ascii="Calibri" w:hAnsi="Calibri" w:cs="Calibri"/>
                  <w:noProof/>
                  <w:color w:val="0070C0"/>
                  <w:sz w:val="16"/>
                  <w:szCs w:val="16"/>
                  <w:u w:val="single"/>
                  <w:lang w:val="es-ES_tradnl" w:eastAsia="es-CO"/>
                </w:rPr>
                <w:t>Decreto 250 de 2005, artículo 1</w:t>
              </w:r>
            </w:hyperlink>
            <w:r w:rsidRPr="000D52ED">
              <w:rPr>
                <w:rFonts w:ascii="Calibri" w:hAnsi="Calibri" w:cs="Calibri"/>
                <w:noProof/>
                <w:color w:val="0070C0"/>
                <w:sz w:val="16"/>
                <w:szCs w:val="16"/>
                <w:u w:val="single"/>
                <w:lang w:val="es-ES_tradnl" w:eastAsia="es-CO"/>
              </w:rPr>
              <w:t>)</w:t>
            </w:r>
          </w:p>
          <w:p w14:paraId="4226C08A" w14:textId="1AD370E6" w:rsidR="00764736" w:rsidRPr="000D52ED" w:rsidRDefault="00764736" w:rsidP="00E16D5F">
            <w:pPr>
              <w:jc w:val="both"/>
              <w:rPr>
                <w:rFonts w:ascii="Calibri" w:hAnsi="Calibri" w:cs="Calibri"/>
                <w:noProof/>
                <w:color w:val="000000"/>
                <w:sz w:val="16"/>
                <w:szCs w:val="16"/>
                <w:lang w:val="es-ES_tradnl" w:eastAsia="es-CO"/>
              </w:rPr>
            </w:pPr>
          </w:p>
        </w:tc>
        <w:tc>
          <w:tcPr>
            <w:tcW w:w="1134" w:type="dxa"/>
            <w:shd w:val="clear" w:color="auto" w:fill="auto"/>
            <w:hideMark/>
          </w:tcPr>
          <w:p w14:paraId="63B5419A" w14:textId="77777777" w:rsidR="00AE04F7" w:rsidRPr="000D52ED" w:rsidRDefault="00AE04F7" w:rsidP="00E16D5F">
            <w:pPr>
              <w:jc w:val="both"/>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Obsolescencia</w:t>
            </w:r>
          </w:p>
        </w:tc>
        <w:tc>
          <w:tcPr>
            <w:tcW w:w="3118" w:type="dxa"/>
            <w:shd w:val="clear" w:color="auto" w:fill="auto"/>
            <w:hideMark/>
          </w:tcPr>
          <w:p w14:paraId="3BA2981F" w14:textId="0F8F9AE4" w:rsidR="00AE04F7" w:rsidRPr="000D52ED" w:rsidRDefault="0073385D"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Se propone la depuración del artículo en comento</w:t>
            </w:r>
            <w:r w:rsidR="008778C8" w:rsidRPr="000D52ED">
              <w:rPr>
                <w:rFonts w:ascii="Calibri" w:hAnsi="Calibri" w:cs="Calibri"/>
                <w:noProof/>
                <w:color w:val="000000"/>
                <w:sz w:val="16"/>
                <w:szCs w:val="16"/>
                <w:lang w:val="es-ES_tradnl" w:eastAsia="es-CO"/>
              </w:rPr>
              <w:t xml:space="preserve"> que señala que</w:t>
            </w:r>
            <w:r w:rsidRPr="000D52ED">
              <w:rPr>
                <w:rFonts w:ascii="Calibri" w:hAnsi="Calibri" w:cs="Calibri"/>
                <w:noProof/>
                <w:color w:val="000000"/>
                <w:sz w:val="16"/>
                <w:szCs w:val="16"/>
                <w:lang w:val="es-ES_tradnl" w:eastAsia="es-CO"/>
              </w:rPr>
              <w:t xml:space="preserve"> </w:t>
            </w:r>
            <w:r w:rsidR="008778C8" w:rsidRPr="000D52ED">
              <w:rPr>
                <w:rFonts w:ascii="Calibri" w:hAnsi="Calibri" w:cs="Calibri"/>
                <w:noProof/>
                <w:color w:val="000000"/>
                <w:sz w:val="16"/>
                <w:szCs w:val="16"/>
                <w:lang w:val="es-ES_tradnl" w:eastAsia="es-CO"/>
              </w:rPr>
              <w:t>e</w:t>
            </w:r>
            <w:r w:rsidR="00AE04F7" w:rsidRPr="000D52ED">
              <w:rPr>
                <w:rFonts w:ascii="Calibri" w:hAnsi="Calibri" w:cs="Calibri"/>
                <w:noProof/>
                <w:color w:val="000000"/>
                <w:sz w:val="16"/>
                <w:szCs w:val="16"/>
                <w:lang w:val="es-ES_tradnl" w:eastAsia="es-CO"/>
              </w:rPr>
              <w:t>l Plan Nacional para la Atención Integral a la Población Desplazada por la Violencia ya no se encuentra vigente. Por lo anterior, este artículo perdió validez (en su lugar, se aplica el Plan Nacional de Atención y Reparación a las Víctimas).</w:t>
            </w:r>
          </w:p>
        </w:tc>
      </w:tr>
      <w:tr w:rsidR="00AE04F7" w:rsidRPr="00CA558D" w14:paraId="60E2AE74" w14:textId="77777777" w:rsidTr="0090085B">
        <w:trPr>
          <w:trHeight w:val="5502"/>
        </w:trPr>
        <w:tc>
          <w:tcPr>
            <w:tcW w:w="416" w:type="dxa"/>
            <w:shd w:val="clear" w:color="auto" w:fill="auto"/>
            <w:noWrap/>
            <w:vAlign w:val="center"/>
            <w:hideMark/>
          </w:tcPr>
          <w:p w14:paraId="1B9350D2" w14:textId="46151559" w:rsidR="00AE04F7" w:rsidRPr="000D52ED" w:rsidRDefault="00F72821"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lastRenderedPageBreak/>
              <w:t>5</w:t>
            </w:r>
          </w:p>
        </w:tc>
        <w:tc>
          <w:tcPr>
            <w:tcW w:w="992" w:type="dxa"/>
            <w:shd w:val="clear" w:color="auto" w:fill="auto"/>
            <w:hideMark/>
          </w:tcPr>
          <w:p w14:paraId="7D9058C2" w14:textId="77777777" w:rsidR="00AE04F7"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Parte 4 Título 3 Capítulo 1 Sección 3 Artículo 2.4.3.1.1.2</w:t>
            </w:r>
          </w:p>
        </w:tc>
        <w:tc>
          <w:tcPr>
            <w:tcW w:w="3402" w:type="dxa"/>
            <w:shd w:val="clear" w:color="auto" w:fill="auto"/>
            <w:hideMark/>
          </w:tcPr>
          <w:p w14:paraId="25AA0DD4" w14:textId="77777777" w:rsidR="00AE04F7" w:rsidRPr="000D52ED" w:rsidRDefault="00AE04F7" w:rsidP="00E16D5F">
            <w:pPr>
              <w:jc w:val="both"/>
              <w:rPr>
                <w:rFonts w:ascii="Calibri" w:hAnsi="Calibri" w:cs="Calibri"/>
                <w:noProof/>
                <w:color w:val="000000"/>
                <w:sz w:val="16"/>
                <w:szCs w:val="16"/>
                <w:lang w:val="es-ES_tradnl" w:eastAsia="es-CO"/>
              </w:rPr>
            </w:pPr>
            <w:r w:rsidRPr="000D52ED">
              <w:rPr>
                <w:rFonts w:ascii="Calibri" w:hAnsi="Calibri" w:cs="Calibri"/>
                <w:b/>
                <w:bCs/>
                <w:noProof/>
                <w:color w:val="000000"/>
                <w:sz w:val="16"/>
                <w:szCs w:val="16"/>
                <w:lang w:val="es-ES_tradnl" w:eastAsia="es-CO"/>
              </w:rPr>
              <w:t>Artículo 2.4.3.1.1.2. Inventario de instituciones.</w:t>
            </w:r>
            <w:r w:rsidRPr="000D52ED">
              <w:rPr>
                <w:rFonts w:ascii="Calibri" w:hAnsi="Calibri" w:cs="Calibri"/>
                <w:noProof/>
                <w:color w:val="000000"/>
                <w:sz w:val="16"/>
                <w:szCs w:val="16"/>
                <w:lang w:val="es-ES_tradnl" w:eastAsia="es-CO"/>
              </w:rPr>
              <w:t xml:space="preserve"> Para el cumplimiento de la función de recibir y distribuir los recursos y auxilios que se incluyan en el Presupuesto Nacional con destino a entidades oficiales o particulares que se ocupen de programas de bienestar social del niño, niña o adolescente y de la familia, e inspeccionar la inversión de aquellos, el Instituto Colombiano de Bienestar Familiar realizará y mantendrá al día inventario de las instituciones que con tales propósitos funcionen en el país, de su naturaleza, de sus recursos, finalidades específicas, potencialidad y ubicación; señalará además, las pautas científicas a las cuales han de someterse los programas y actividades de los establecimientos, para disfrutar del apoyo oficial; indicará con el mismo objeto, la técnica de la planeación individual e incorporará a los propios programas los planes e iniciativas de aquellos, en la medida y magnitud en que se acomoden a los recursos del Instituto y al plan nacional de desarrollo, a fin de garantizar la permanencia y eficacia de los proyectos y trabajos. </w:t>
            </w:r>
            <w:r w:rsidRPr="000D52ED">
              <w:rPr>
                <w:rFonts w:ascii="Calibri" w:hAnsi="Calibri" w:cs="Calibri"/>
                <w:noProof/>
                <w:color w:val="000000"/>
                <w:sz w:val="16"/>
                <w:szCs w:val="16"/>
                <w:lang w:val="es-ES_tradnl" w:eastAsia="es-CO"/>
              </w:rPr>
              <w:br/>
            </w:r>
            <w:r w:rsidRPr="000D52ED">
              <w:rPr>
                <w:rFonts w:ascii="Calibri" w:hAnsi="Calibri" w:cs="Calibri"/>
                <w:noProof/>
                <w:color w:val="000000"/>
                <w:sz w:val="16"/>
                <w:szCs w:val="16"/>
                <w:lang w:val="es-ES_tradnl" w:eastAsia="es-CO"/>
              </w:rPr>
              <w:br/>
            </w:r>
            <w:r w:rsidRPr="000D52ED">
              <w:rPr>
                <w:rFonts w:ascii="Calibri" w:hAnsi="Calibri" w:cs="Calibri"/>
                <w:noProof/>
                <w:color w:val="0070C0"/>
                <w:sz w:val="16"/>
                <w:szCs w:val="16"/>
                <w:u w:val="single"/>
                <w:lang w:val="es-ES_tradnl"/>
              </w:rPr>
              <w:t>(Decreto 398 de 1969, artículo 21)</w:t>
            </w:r>
          </w:p>
        </w:tc>
        <w:tc>
          <w:tcPr>
            <w:tcW w:w="1134" w:type="dxa"/>
            <w:shd w:val="clear" w:color="auto" w:fill="auto"/>
            <w:hideMark/>
          </w:tcPr>
          <w:p w14:paraId="07E14188" w14:textId="2F139162" w:rsidR="00AE04F7" w:rsidRPr="000D52ED" w:rsidRDefault="00EC7197" w:rsidP="00E16D5F">
            <w:pPr>
              <w:jc w:val="both"/>
              <w:rPr>
                <w:rFonts w:ascii="Calibri" w:hAnsi="Calibri" w:cs="Calibri"/>
                <w:noProof/>
                <w:color w:val="000000"/>
                <w:sz w:val="16"/>
                <w:szCs w:val="16"/>
                <w:lang w:val="es-ES_tradnl" w:eastAsia="es-CO"/>
              </w:rPr>
            </w:pPr>
            <w:r w:rsidRPr="000D52ED">
              <w:rPr>
                <w:rFonts w:ascii="Calibri" w:hAnsi="Calibri" w:cs="Calibri"/>
                <w:b/>
                <w:bCs/>
                <w:noProof/>
                <w:color w:val="000000"/>
                <w:sz w:val="16"/>
                <w:szCs w:val="16"/>
                <w:lang w:val="es-ES_tradnl" w:eastAsia="es-CO"/>
              </w:rPr>
              <w:t>Obsolescencia</w:t>
            </w:r>
          </w:p>
        </w:tc>
        <w:tc>
          <w:tcPr>
            <w:tcW w:w="3118" w:type="dxa"/>
            <w:shd w:val="clear" w:color="auto" w:fill="auto"/>
            <w:hideMark/>
          </w:tcPr>
          <w:p w14:paraId="62A5ABBE" w14:textId="669AE7BF" w:rsidR="00F72821" w:rsidRPr="000D52ED" w:rsidRDefault="0073385D" w:rsidP="00F72821">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Se propone la depuración del artículo en comento</w:t>
            </w:r>
            <w:r w:rsidR="00F72821" w:rsidRPr="000D52ED">
              <w:rPr>
                <w:rFonts w:ascii="Calibri" w:hAnsi="Calibri" w:cs="Calibri"/>
                <w:noProof/>
                <w:color w:val="000000"/>
                <w:sz w:val="16"/>
                <w:szCs w:val="16"/>
                <w:lang w:val="es-ES_tradnl" w:eastAsia="es-CO"/>
              </w:rPr>
              <w:t>, ya que impone desde su vigencia -en 1969- la obligación de llevar un inventario de las instituciones que se ocupen de programas de bienestar social del niño, niña o adolescente y de la familia, incluyendo sus</w:t>
            </w:r>
            <w:r w:rsidR="00B42420" w:rsidRPr="000D52ED">
              <w:rPr>
                <w:rFonts w:ascii="Calibri" w:hAnsi="Calibri" w:cs="Calibri"/>
                <w:noProof/>
                <w:color w:val="000000"/>
                <w:sz w:val="16"/>
                <w:szCs w:val="16"/>
                <w:lang w:val="es-ES_tradnl" w:eastAsia="es-CO"/>
              </w:rPr>
              <w:t xml:space="preserve"> </w:t>
            </w:r>
            <w:r w:rsidR="00F72821" w:rsidRPr="000D52ED">
              <w:rPr>
                <w:rFonts w:ascii="Calibri" w:hAnsi="Calibri" w:cs="Calibri"/>
                <w:noProof/>
                <w:color w:val="000000"/>
                <w:sz w:val="16"/>
                <w:szCs w:val="16"/>
                <w:lang w:val="es-ES_tradnl" w:eastAsia="es-CO"/>
              </w:rPr>
              <w:t>funciones</w:t>
            </w:r>
            <w:r w:rsidR="00B42420" w:rsidRPr="000D52ED">
              <w:rPr>
                <w:rFonts w:ascii="Calibri" w:hAnsi="Calibri" w:cs="Calibri"/>
                <w:noProof/>
                <w:color w:val="000000"/>
                <w:sz w:val="16"/>
                <w:szCs w:val="16"/>
                <w:lang w:val="es-ES_tradnl" w:eastAsia="es-CO"/>
              </w:rPr>
              <w:t xml:space="preserve"> </w:t>
            </w:r>
            <w:r w:rsidR="00F72821" w:rsidRPr="000D52ED">
              <w:rPr>
                <w:rFonts w:ascii="Calibri" w:hAnsi="Calibri" w:cs="Calibri"/>
                <w:noProof/>
                <w:color w:val="000000"/>
                <w:sz w:val="16"/>
                <w:szCs w:val="16"/>
                <w:lang w:val="es-ES_tradnl" w:eastAsia="es-CO"/>
              </w:rPr>
              <w:t>en</w:t>
            </w:r>
            <w:r w:rsidR="00B42420" w:rsidRPr="000D52ED">
              <w:rPr>
                <w:rFonts w:ascii="Calibri" w:hAnsi="Calibri" w:cs="Calibri"/>
                <w:noProof/>
                <w:color w:val="000000"/>
                <w:sz w:val="16"/>
                <w:szCs w:val="16"/>
                <w:lang w:val="es-ES_tradnl" w:eastAsia="es-CO"/>
              </w:rPr>
              <w:t xml:space="preserve"> </w:t>
            </w:r>
            <w:r w:rsidR="00F72821" w:rsidRPr="000D52ED">
              <w:rPr>
                <w:rFonts w:ascii="Calibri" w:hAnsi="Calibri" w:cs="Calibri"/>
                <w:noProof/>
                <w:color w:val="000000"/>
                <w:sz w:val="16"/>
                <w:szCs w:val="16"/>
                <w:lang w:val="es-ES_tradnl" w:eastAsia="es-CO"/>
              </w:rPr>
              <w:t>el</w:t>
            </w:r>
            <w:r w:rsidR="00B42420" w:rsidRPr="000D52ED">
              <w:rPr>
                <w:rFonts w:ascii="Calibri" w:hAnsi="Calibri" w:cs="Calibri"/>
                <w:noProof/>
                <w:color w:val="000000"/>
                <w:sz w:val="16"/>
                <w:szCs w:val="16"/>
                <w:lang w:val="es-ES_tradnl" w:eastAsia="es-CO"/>
              </w:rPr>
              <w:t xml:space="preserve"> </w:t>
            </w:r>
            <w:r w:rsidR="00F72821" w:rsidRPr="000D52ED">
              <w:rPr>
                <w:rFonts w:ascii="Calibri" w:hAnsi="Calibri" w:cs="Calibri"/>
                <w:noProof/>
                <w:color w:val="000000"/>
                <w:sz w:val="16"/>
                <w:szCs w:val="16"/>
                <w:lang w:val="es-ES_tradnl" w:eastAsia="es-CO"/>
              </w:rPr>
              <w:t>país,</w:t>
            </w:r>
            <w:r w:rsidR="00B42420" w:rsidRPr="000D52ED">
              <w:rPr>
                <w:rFonts w:ascii="Calibri" w:hAnsi="Calibri" w:cs="Calibri"/>
                <w:noProof/>
                <w:color w:val="000000"/>
                <w:sz w:val="16"/>
                <w:szCs w:val="16"/>
                <w:lang w:val="es-ES_tradnl" w:eastAsia="es-CO"/>
              </w:rPr>
              <w:t xml:space="preserve"> </w:t>
            </w:r>
            <w:r w:rsidR="00F72821" w:rsidRPr="000D52ED">
              <w:rPr>
                <w:rFonts w:ascii="Calibri" w:hAnsi="Calibri" w:cs="Calibri"/>
                <w:noProof/>
                <w:color w:val="000000"/>
                <w:sz w:val="16"/>
                <w:szCs w:val="16"/>
                <w:lang w:val="es-ES_tradnl" w:eastAsia="es-CO"/>
              </w:rPr>
              <w:t>su</w:t>
            </w:r>
            <w:r w:rsidR="00B42420" w:rsidRPr="000D52ED">
              <w:rPr>
                <w:rFonts w:ascii="Calibri" w:hAnsi="Calibri" w:cs="Calibri"/>
                <w:noProof/>
                <w:color w:val="000000"/>
                <w:sz w:val="16"/>
                <w:szCs w:val="16"/>
                <w:lang w:val="es-ES_tradnl" w:eastAsia="es-CO"/>
              </w:rPr>
              <w:t xml:space="preserve"> </w:t>
            </w:r>
            <w:r w:rsidR="00F72821" w:rsidRPr="000D52ED">
              <w:rPr>
                <w:rFonts w:ascii="Calibri" w:hAnsi="Calibri" w:cs="Calibri"/>
                <w:noProof/>
                <w:color w:val="000000"/>
                <w:sz w:val="16"/>
                <w:szCs w:val="16"/>
                <w:lang w:val="es-ES_tradnl" w:eastAsia="es-CO"/>
              </w:rPr>
              <w:t>naturaleza,</w:t>
            </w:r>
            <w:r w:rsidR="00B42420" w:rsidRPr="000D52ED">
              <w:rPr>
                <w:rFonts w:ascii="Calibri" w:hAnsi="Calibri" w:cs="Calibri"/>
                <w:noProof/>
                <w:color w:val="000000"/>
                <w:sz w:val="16"/>
                <w:szCs w:val="16"/>
                <w:lang w:val="es-ES_tradnl" w:eastAsia="es-CO"/>
              </w:rPr>
              <w:t xml:space="preserve"> </w:t>
            </w:r>
            <w:r w:rsidR="00F72821" w:rsidRPr="000D52ED">
              <w:rPr>
                <w:rFonts w:ascii="Calibri" w:hAnsi="Calibri" w:cs="Calibri"/>
                <w:noProof/>
                <w:color w:val="000000"/>
                <w:sz w:val="16"/>
                <w:szCs w:val="16"/>
                <w:lang w:val="es-ES_tradnl" w:eastAsia="es-CO"/>
              </w:rPr>
              <w:t xml:space="preserve"> sus</w:t>
            </w:r>
            <w:r w:rsidR="00B42420" w:rsidRPr="000D52ED">
              <w:rPr>
                <w:rFonts w:ascii="Calibri" w:hAnsi="Calibri" w:cs="Calibri"/>
                <w:noProof/>
                <w:color w:val="000000"/>
                <w:sz w:val="16"/>
                <w:szCs w:val="16"/>
                <w:lang w:val="es-ES_tradnl" w:eastAsia="es-CO"/>
              </w:rPr>
              <w:t xml:space="preserve"> </w:t>
            </w:r>
            <w:r w:rsidR="00F72821" w:rsidRPr="000D52ED">
              <w:rPr>
                <w:rFonts w:ascii="Calibri" w:hAnsi="Calibri" w:cs="Calibri"/>
                <w:noProof/>
                <w:color w:val="000000"/>
                <w:sz w:val="16"/>
                <w:szCs w:val="16"/>
                <w:lang w:val="es-ES_tradnl" w:eastAsia="es-CO"/>
              </w:rPr>
              <w:t>recursos,</w:t>
            </w:r>
            <w:r w:rsidR="00B42420" w:rsidRPr="000D52ED">
              <w:rPr>
                <w:rFonts w:ascii="Calibri" w:hAnsi="Calibri" w:cs="Calibri"/>
                <w:noProof/>
                <w:color w:val="000000"/>
                <w:sz w:val="16"/>
                <w:szCs w:val="16"/>
                <w:lang w:val="es-ES_tradnl" w:eastAsia="es-CO"/>
              </w:rPr>
              <w:t xml:space="preserve"> </w:t>
            </w:r>
            <w:r w:rsidR="00F72821" w:rsidRPr="000D52ED">
              <w:rPr>
                <w:rFonts w:ascii="Calibri" w:hAnsi="Calibri" w:cs="Calibri"/>
                <w:noProof/>
                <w:color w:val="000000"/>
                <w:sz w:val="16"/>
                <w:szCs w:val="16"/>
                <w:lang w:val="es-ES_tradnl" w:eastAsia="es-CO"/>
              </w:rPr>
              <w:t>sus</w:t>
            </w:r>
            <w:r w:rsidR="00B42420" w:rsidRPr="000D52ED">
              <w:rPr>
                <w:rFonts w:ascii="Calibri" w:hAnsi="Calibri" w:cs="Calibri"/>
                <w:noProof/>
                <w:color w:val="000000"/>
                <w:sz w:val="16"/>
                <w:szCs w:val="16"/>
                <w:lang w:val="es-ES_tradnl" w:eastAsia="es-CO"/>
              </w:rPr>
              <w:t xml:space="preserve"> </w:t>
            </w:r>
            <w:r w:rsidR="00F72821" w:rsidRPr="000D52ED">
              <w:rPr>
                <w:rFonts w:ascii="Calibri" w:hAnsi="Calibri" w:cs="Calibri"/>
                <w:noProof/>
                <w:color w:val="000000"/>
                <w:sz w:val="16"/>
                <w:szCs w:val="16"/>
                <w:lang w:val="es-ES_tradnl" w:eastAsia="es-CO"/>
              </w:rPr>
              <w:t>finalidades</w:t>
            </w:r>
            <w:r w:rsidR="00B42420" w:rsidRPr="000D52ED">
              <w:rPr>
                <w:rFonts w:ascii="Calibri" w:hAnsi="Calibri" w:cs="Calibri"/>
                <w:noProof/>
                <w:color w:val="000000"/>
                <w:sz w:val="16"/>
                <w:szCs w:val="16"/>
                <w:lang w:val="es-ES_tradnl" w:eastAsia="es-CO"/>
              </w:rPr>
              <w:t xml:space="preserve"> </w:t>
            </w:r>
            <w:r w:rsidR="00F72821" w:rsidRPr="000D52ED">
              <w:rPr>
                <w:rFonts w:ascii="Calibri" w:hAnsi="Calibri" w:cs="Calibri"/>
                <w:noProof/>
                <w:color w:val="000000"/>
                <w:sz w:val="16"/>
                <w:szCs w:val="16"/>
                <w:lang w:val="es-ES_tradnl" w:eastAsia="es-CO"/>
              </w:rPr>
              <w:t>específicas, potencialidad y ubicación;</w:t>
            </w:r>
            <w:r w:rsidR="00B42420" w:rsidRPr="000D52ED">
              <w:rPr>
                <w:rFonts w:ascii="Calibri" w:hAnsi="Calibri" w:cs="Calibri"/>
                <w:noProof/>
                <w:color w:val="000000"/>
                <w:sz w:val="16"/>
                <w:szCs w:val="16"/>
                <w:lang w:val="es-ES_tradnl" w:eastAsia="es-CO"/>
              </w:rPr>
              <w:t xml:space="preserve"> </w:t>
            </w:r>
            <w:r w:rsidR="00F72821" w:rsidRPr="000D52ED">
              <w:rPr>
                <w:rFonts w:ascii="Calibri" w:hAnsi="Calibri" w:cs="Calibri"/>
                <w:noProof/>
                <w:color w:val="000000"/>
                <w:sz w:val="16"/>
                <w:szCs w:val="16"/>
                <w:lang w:val="es-ES_tradnl" w:eastAsia="es-CO"/>
              </w:rPr>
              <w:t xml:space="preserve">además, las pautas científicas a las cuales han de someterse los programas y actividades de los establecimientos, para disfrutar del apoyo oficial. </w:t>
            </w:r>
          </w:p>
          <w:p w14:paraId="3585EFA6" w14:textId="77777777" w:rsidR="001E0DAD" w:rsidRDefault="001E0DAD" w:rsidP="00F72821">
            <w:pPr>
              <w:jc w:val="both"/>
              <w:rPr>
                <w:rFonts w:ascii="Calibri" w:hAnsi="Calibri" w:cs="Calibri"/>
                <w:noProof/>
                <w:color w:val="000000"/>
                <w:sz w:val="16"/>
                <w:szCs w:val="16"/>
                <w:lang w:val="es-ES_tradnl" w:eastAsia="es-CO"/>
              </w:rPr>
            </w:pPr>
          </w:p>
          <w:p w14:paraId="3486DFC0" w14:textId="55BC57ED" w:rsidR="00F72821" w:rsidRPr="000D52ED" w:rsidRDefault="00F72821" w:rsidP="00F72821">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En la actualidad, la conformación de bancos nacionales de oferentes como actuación previa a la adjudicación de contratos de aporte suple la necesidad de llevar el inventario dispuesto por la norma en análisis.</w:t>
            </w:r>
          </w:p>
          <w:p w14:paraId="1C050764" w14:textId="77777777" w:rsidR="00F72821" w:rsidRPr="000D52ED" w:rsidRDefault="00F72821" w:rsidP="00F72821">
            <w:pPr>
              <w:jc w:val="both"/>
              <w:rPr>
                <w:rFonts w:ascii="Calibri" w:hAnsi="Calibri" w:cs="Calibri"/>
                <w:noProof/>
                <w:color w:val="000000"/>
                <w:sz w:val="16"/>
                <w:szCs w:val="16"/>
                <w:lang w:val="es-ES_tradnl" w:eastAsia="es-CO"/>
              </w:rPr>
            </w:pPr>
          </w:p>
          <w:p w14:paraId="4CA39D49" w14:textId="2764381E" w:rsidR="00F72821" w:rsidRPr="000D52ED" w:rsidRDefault="00F72821" w:rsidP="00F72821">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Estos bancos de oferentes se constituyen mediante invitaciones públicas y tienen como finalidad consolidar y caracterizar la oferta nacional de entidades con capacidad para prestar el</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Servicio</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Público</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de</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Bienestar</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Familiar,</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es</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decir,</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conformar</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una</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lista</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de operadores con la idoneidad y capacidad para prestar los servicios de Bienestar Familiar.</w:t>
            </w:r>
          </w:p>
          <w:p w14:paraId="0E8D8D65" w14:textId="77777777" w:rsidR="00F72821" w:rsidRPr="000D52ED" w:rsidRDefault="00F72821" w:rsidP="00F72821">
            <w:pPr>
              <w:jc w:val="both"/>
              <w:rPr>
                <w:rFonts w:ascii="Calibri" w:hAnsi="Calibri" w:cs="Calibri"/>
                <w:noProof/>
                <w:color w:val="000000"/>
                <w:sz w:val="16"/>
                <w:szCs w:val="16"/>
                <w:lang w:val="es-ES_tradnl" w:eastAsia="es-CO"/>
              </w:rPr>
            </w:pPr>
          </w:p>
          <w:p w14:paraId="6EDA2C6A" w14:textId="59A8A390" w:rsidR="00F72821" w:rsidRPr="000D52ED" w:rsidRDefault="00F72821" w:rsidP="00F72821">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Debe entenderse</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que</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la</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constitución</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de</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estos</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bancos</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se</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realiza</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a</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partir</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de procedimientos administrativos, previos e independientes del proceso de contratación.</w:t>
            </w:r>
          </w:p>
          <w:p w14:paraId="17228AB0" w14:textId="7468ADA3" w:rsidR="00F72821" w:rsidRPr="000D52ED" w:rsidRDefault="00F72821" w:rsidP="00F72821">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 </w:t>
            </w:r>
          </w:p>
          <w:p w14:paraId="679BA4C4" w14:textId="69E21B51" w:rsidR="00AE04F7" w:rsidRPr="000D52ED" w:rsidRDefault="00F72821" w:rsidP="00F72821">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Así las cosas, si se considera que el mencionado artículo del Decreto 1084 de 2015 establece el deber del ICBF de realizar y mantener al día inventario de las instituciones que se ocupen de programas de bienestar social de los niños, niñas, adolescentes y familia, resulta claro que la finalidad de la norma se ha venido cumpliendo a través de la constitución de los bancos de oferentes; dejando la previsión reglamentaria obsoleta.</w:t>
            </w:r>
          </w:p>
        </w:tc>
      </w:tr>
    </w:tbl>
    <w:p w14:paraId="69E7A3D6" w14:textId="2F2BFA52" w:rsidR="00EE254F" w:rsidRPr="000D52ED" w:rsidRDefault="00EE254F">
      <w:pPr>
        <w:rPr>
          <w:noProof/>
          <w:lang w:val="es-ES_tradnl"/>
        </w:rPr>
      </w:pPr>
    </w:p>
    <w:p w14:paraId="4396FBDD" w14:textId="77777777" w:rsidR="004E4244" w:rsidRPr="000D52ED" w:rsidRDefault="004E4244" w:rsidP="004E4244">
      <w:pPr>
        <w:rPr>
          <w:noProof/>
          <w:lang w:val="es-ES_tradnl"/>
        </w:rPr>
      </w:pPr>
    </w:p>
    <w:p w14:paraId="046A2671" w14:textId="444C70FA" w:rsidR="004E4244" w:rsidRPr="000D52ED" w:rsidRDefault="004E4244" w:rsidP="004E4244">
      <w:pPr>
        <w:rPr>
          <w:noProof/>
          <w:lang w:val="es-ES_tradnl"/>
        </w:rPr>
        <w:sectPr w:rsidR="004E4244" w:rsidRPr="000D52ED" w:rsidSect="00480BF5">
          <w:footerReference w:type="default" r:id="rId12"/>
          <w:pgSz w:w="11906" w:h="16838" w:code="9"/>
          <w:pgMar w:top="1728" w:right="1133" w:bottom="1440" w:left="1800" w:header="720" w:footer="720" w:gutter="0"/>
          <w:pgNumType w:start="0"/>
          <w:cols w:space="720"/>
          <w:titlePg/>
          <w:docGrid w:linePitch="360"/>
        </w:sectPr>
      </w:pPr>
    </w:p>
    <w:p w14:paraId="4A4E6536" w14:textId="613D36BF" w:rsidR="00A04A95" w:rsidRPr="000D52ED" w:rsidRDefault="00A04A95" w:rsidP="00E16D5F">
      <w:pPr>
        <w:pStyle w:val="Ttulo2"/>
        <w:numPr>
          <w:ilvl w:val="0"/>
          <w:numId w:val="18"/>
        </w:numPr>
        <w:jc w:val="both"/>
        <w:rPr>
          <w:noProof/>
          <w:lang w:val="es-ES_tradnl"/>
        </w:rPr>
      </w:pPr>
      <w:r w:rsidRPr="000D52ED">
        <w:rPr>
          <w:noProof/>
          <w:lang w:val="es-ES_tradnl"/>
        </w:rPr>
        <w:lastRenderedPageBreak/>
        <w:t>Balance de normas objeto de modificación</w:t>
      </w:r>
      <w:r w:rsidR="00111394" w:rsidRPr="000D52ED">
        <w:rPr>
          <w:noProof/>
          <w:lang w:val="es-ES_tradnl"/>
        </w:rPr>
        <w:t>:</w:t>
      </w:r>
    </w:p>
    <w:p w14:paraId="0AB9E70B" w14:textId="77777777" w:rsidR="00603924" w:rsidRDefault="00603924" w:rsidP="0090085B">
      <w:pPr>
        <w:jc w:val="both"/>
        <w:rPr>
          <w:noProof/>
          <w:lang w:val="es-ES_tradnl"/>
        </w:rPr>
      </w:pPr>
    </w:p>
    <w:p w14:paraId="797A6FF1" w14:textId="473300FE" w:rsidR="00641218" w:rsidRDefault="00725703" w:rsidP="0090085B">
      <w:pPr>
        <w:jc w:val="both"/>
        <w:rPr>
          <w:noProof/>
          <w:lang w:val="es-ES_tradnl"/>
        </w:rPr>
      </w:pPr>
      <w:r w:rsidRPr="000D52ED">
        <w:rPr>
          <w:noProof/>
          <w:lang w:val="es-ES_tradnl"/>
        </w:rPr>
        <w:t>E</w:t>
      </w:r>
      <w:r w:rsidR="00CA29B1" w:rsidRPr="000D52ED">
        <w:rPr>
          <w:noProof/>
          <w:lang w:val="es-ES_tradnl"/>
        </w:rPr>
        <w:t xml:space="preserve">n el </w:t>
      </w:r>
      <w:r w:rsidR="004B39EB" w:rsidRPr="000D52ED">
        <w:rPr>
          <w:noProof/>
          <w:lang w:val="es-ES_tradnl"/>
        </w:rPr>
        <w:t>proceso</w:t>
      </w:r>
      <w:r w:rsidR="00FE6F47" w:rsidRPr="000D52ED">
        <w:rPr>
          <w:noProof/>
          <w:lang w:val="es-ES_tradnl"/>
        </w:rPr>
        <w:t xml:space="preserve"> de depuración</w:t>
      </w:r>
      <w:r w:rsidR="00145EF6" w:rsidRPr="000D52ED">
        <w:rPr>
          <w:noProof/>
          <w:lang w:val="es-ES_tradnl"/>
        </w:rPr>
        <w:t xml:space="preserve"> </w:t>
      </w:r>
      <w:r w:rsidRPr="000D52ED">
        <w:rPr>
          <w:noProof/>
          <w:lang w:val="es-ES_tradnl"/>
        </w:rPr>
        <w:t xml:space="preserve">se </w:t>
      </w:r>
      <w:r w:rsidR="00AC569F" w:rsidRPr="000D52ED">
        <w:rPr>
          <w:noProof/>
          <w:lang w:val="es-ES_tradnl"/>
        </w:rPr>
        <w:t>identificó</w:t>
      </w:r>
      <w:r w:rsidRPr="000D52ED">
        <w:rPr>
          <w:noProof/>
          <w:lang w:val="es-ES_tradnl"/>
        </w:rPr>
        <w:t xml:space="preserve"> </w:t>
      </w:r>
      <w:r w:rsidR="00BB004A" w:rsidRPr="000D52ED">
        <w:rPr>
          <w:noProof/>
          <w:lang w:val="es-ES_tradnl"/>
        </w:rPr>
        <w:t>la necesidad</w:t>
      </w:r>
      <w:r w:rsidR="0017481F" w:rsidRPr="000D52ED">
        <w:rPr>
          <w:noProof/>
          <w:lang w:val="es-ES_tradnl"/>
        </w:rPr>
        <w:t xml:space="preserve"> </w:t>
      </w:r>
      <w:r w:rsidR="00AC569F" w:rsidRPr="000D52ED">
        <w:rPr>
          <w:noProof/>
          <w:lang w:val="es-ES_tradnl"/>
        </w:rPr>
        <w:t>modifica</w:t>
      </w:r>
      <w:r w:rsidR="003A3A3B" w:rsidRPr="000D52ED">
        <w:rPr>
          <w:noProof/>
          <w:lang w:val="es-ES_tradnl"/>
        </w:rPr>
        <w:t>r</w:t>
      </w:r>
      <w:r w:rsidR="00BA00F0" w:rsidRPr="000D52ED">
        <w:rPr>
          <w:noProof/>
          <w:lang w:val="es-ES_tradnl"/>
        </w:rPr>
        <w:t xml:space="preserve"> </w:t>
      </w:r>
      <w:r w:rsidR="0090085B" w:rsidRPr="000D52ED">
        <w:rPr>
          <w:noProof/>
          <w:lang w:val="es-ES_tradnl"/>
        </w:rPr>
        <w:t>siete</w:t>
      </w:r>
      <w:r w:rsidR="003C1129" w:rsidRPr="000D52ED">
        <w:rPr>
          <w:noProof/>
          <w:lang w:val="es-ES_tradnl"/>
        </w:rPr>
        <w:t xml:space="preserve"> (</w:t>
      </w:r>
      <w:r w:rsidR="0090085B" w:rsidRPr="000D52ED">
        <w:rPr>
          <w:noProof/>
          <w:lang w:val="es-ES_tradnl"/>
        </w:rPr>
        <w:t>7</w:t>
      </w:r>
      <w:r w:rsidR="003C1129" w:rsidRPr="000D52ED">
        <w:rPr>
          <w:noProof/>
          <w:lang w:val="es-ES_tradnl"/>
        </w:rPr>
        <w:t>)</w:t>
      </w:r>
      <w:r w:rsidR="00BA00F0" w:rsidRPr="000D52ED">
        <w:rPr>
          <w:noProof/>
          <w:lang w:val="es-ES_tradnl"/>
        </w:rPr>
        <w:t xml:space="preserve"> normas</w:t>
      </w:r>
      <w:r w:rsidR="00111394" w:rsidRPr="000D52ED">
        <w:rPr>
          <w:noProof/>
          <w:lang w:val="es-ES_tradnl"/>
        </w:rPr>
        <w:t xml:space="preserve"> del Decreto </w:t>
      </w:r>
      <w:r w:rsidR="00EC507A" w:rsidRPr="000D52ED">
        <w:rPr>
          <w:noProof/>
          <w:lang w:val="es-ES_tradnl"/>
        </w:rPr>
        <w:t>Único</w:t>
      </w:r>
      <w:r w:rsidR="0036264C" w:rsidRPr="000D52ED">
        <w:rPr>
          <w:noProof/>
          <w:lang w:val="es-ES_tradnl"/>
        </w:rPr>
        <w:t xml:space="preserve"> Reglamentario</w:t>
      </w:r>
      <w:r w:rsidR="00EC507A" w:rsidRPr="000D52ED">
        <w:rPr>
          <w:noProof/>
          <w:lang w:val="es-ES_tradnl"/>
        </w:rPr>
        <w:t>, teniendo</w:t>
      </w:r>
      <w:r w:rsidR="00B04381" w:rsidRPr="000D52ED">
        <w:rPr>
          <w:noProof/>
          <w:lang w:val="es-ES_tradnl"/>
        </w:rPr>
        <w:t xml:space="preserve"> en cuenta</w:t>
      </w:r>
      <w:r w:rsidR="00BA00F0" w:rsidRPr="000D52ED">
        <w:rPr>
          <w:noProof/>
          <w:lang w:val="es-ES_tradnl"/>
        </w:rPr>
        <w:t xml:space="preserve"> el lineamiento </w:t>
      </w:r>
      <w:r w:rsidR="008045EC" w:rsidRPr="000D52ED">
        <w:rPr>
          <w:noProof/>
          <w:lang w:val="es-ES_tradnl"/>
        </w:rPr>
        <w:t>emitido</w:t>
      </w:r>
      <w:r w:rsidR="002C6283" w:rsidRPr="000D52ED">
        <w:rPr>
          <w:noProof/>
          <w:lang w:val="es-ES_tradnl"/>
        </w:rPr>
        <w:t xml:space="preserve"> p</w:t>
      </w:r>
      <w:r w:rsidR="001E4CBE" w:rsidRPr="000D52ED">
        <w:rPr>
          <w:noProof/>
          <w:lang w:val="es-ES_tradnl"/>
        </w:rPr>
        <w:t>or la Dirección del Desarrollo del Derecho</w:t>
      </w:r>
      <w:r w:rsidR="001508F7" w:rsidRPr="000D52ED">
        <w:rPr>
          <w:noProof/>
          <w:lang w:val="es-ES_tradnl"/>
        </w:rPr>
        <w:t>,</w:t>
      </w:r>
      <w:r w:rsidR="00FE6F47" w:rsidRPr="000D52ED">
        <w:rPr>
          <w:noProof/>
          <w:lang w:val="es-ES_tradnl"/>
        </w:rPr>
        <w:t xml:space="preserve"> el cual</w:t>
      </w:r>
      <w:r w:rsidR="00E35B4E" w:rsidRPr="000D52ED">
        <w:rPr>
          <w:noProof/>
          <w:lang w:val="es-ES_tradnl"/>
        </w:rPr>
        <w:t xml:space="preserve"> </w:t>
      </w:r>
      <w:r w:rsidR="00B5255C" w:rsidRPr="000D52ED">
        <w:rPr>
          <w:noProof/>
          <w:lang w:val="es-ES_tradnl"/>
        </w:rPr>
        <w:t>indic</w:t>
      </w:r>
      <w:r w:rsidR="00FE6F47" w:rsidRPr="000D52ED">
        <w:rPr>
          <w:noProof/>
          <w:lang w:val="es-ES_tradnl"/>
        </w:rPr>
        <w:t>ó</w:t>
      </w:r>
      <w:r w:rsidR="00ED5EEE" w:rsidRPr="000D52ED">
        <w:rPr>
          <w:noProof/>
          <w:lang w:val="es-ES_tradnl"/>
        </w:rPr>
        <w:t xml:space="preserve"> que</w:t>
      </w:r>
      <w:r w:rsidR="002115B4" w:rsidRPr="000D52ED">
        <w:rPr>
          <w:noProof/>
          <w:lang w:val="es-ES_tradnl"/>
        </w:rPr>
        <w:t xml:space="preserve"> </w:t>
      </w:r>
      <w:r w:rsidR="0046220C" w:rsidRPr="000D52ED">
        <w:rPr>
          <w:noProof/>
          <w:lang w:val="es-ES_tradnl"/>
        </w:rPr>
        <w:t>la</w:t>
      </w:r>
      <w:r w:rsidR="00E35B4E" w:rsidRPr="000D52ED">
        <w:rPr>
          <w:noProof/>
          <w:lang w:val="es-ES_tradnl"/>
        </w:rPr>
        <w:t xml:space="preserve"> modificación</w:t>
      </w:r>
      <w:r w:rsidR="001D03E5" w:rsidRPr="000D52ED">
        <w:rPr>
          <w:noProof/>
          <w:lang w:val="es-ES_tradnl"/>
        </w:rPr>
        <w:t xml:space="preserve"> de la disposición</w:t>
      </w:r>
      <w:r w:rsidR="009F0251" w:rsidRPr="000D52ED">
        <w:rPr>
          <w:noProof/>
          <w:lang w:val="es-ES_tradnl"/>
        </w:rPr>
        <w:t xml:space="preserve"> pro</w:t>
      </w:r>
      <w:r w:rsidR="001731E2" w:rsidRPr="000D52ED">
        <w:rPr>
          <w:noProof/>
          <w:lang w:val="es-ES_tradnl"/>
        </w:rPr>
        <w:t>cede</w:t>
      </w:r>
      <w:r w:rsidR="002115B4" w:rsidRPr="000D52ED">
        <w:rPr>
          <w:noProof/>
          <w:lang w:val="es-ES_tradnl"/>
        </w:rPr>
        <w:t xml:space="preserve"> </w:t>
      </w:r>
      <w:r w:rsidR="002052D8" w:rsidRPr="000D52ED">
        <w:rPr>
          <w:noProof/>
          <w:lang w:val="es-ES_tradnl"/>
        </w:rPr>
        <w:t>si</w:t>
      </w:r>
      <w:r w:rsidR="00906AF1" w:rsidRPr="000D52ED">
        <w:rPr>
          <w:noProof/>
          <w:lang w:val="es-ES_tradnl"/>
        </w:rPr>
        <w:t xml:space="preserve"> </w:t>
      </w:r>
      <w:r w:rsidR="00FE6F47" w:rsidRPr="000D52ED">
        <w:rPr>
          <w:noProof/>
          <w:lang w:val="es-ES_tradnl"/>
        </w:rPr>
        <w:t xml:space="preserve">el sustento de la modificación es una </w:t>
      </w:r>
      <w:r w:rsidR="00672290" w:rsidRPr="000D52ED">
        <w:rPr>
          <w:noProof/>
          <w:lang w:val="es-ES_tradnl"/>
        </w:rPr>
        <w:t xml:space="preserve">norma </w:t>
      </w:r>
      <w:r w:rsidR="00FE6F47" w:rsidRPr="000D52ED">
        <w:rPr>
          <w:noProof/>
          <w:lang w:val="es-ES_tradnl"/>
        </w:rPr>
        <w:t>expedida con posterioridad</w:t>
      </w:r>
      <w:r w:rsidR="005D78A0" w:rsidRPr="000D52ED">
        <w:rPr>
          <w:noProof/>
          <w:lang w:val="es-ES_tradnl"/>
        </w:rPr>
        <w:t xml:space="preserve"> </w:t>
      </w:r>
      <w:r w:rsidR="007F1427" w:rsidRPr="000D52ED">
        <w:rPr>
          <w:noProof/>
          <w:lang w:val="es-ES_tradnl"/>
        </w:rPr>
        <w:t>a la fecha de compilación del DUR</w:t>
      </w:r>
      <w:r w:rsidR="00FE6F47" w:rsidRPr="000D52ED">
        <w:rPr>
          <w:noProof/>
          <w:lang w:val="es-ES_tradnl"/>
        </w:rPr>
        <w:t>.</w:t>
      </w:r>
      <w:r w:rsidR="00641218" w:rsidRPr="000D52ED">
        <w:rPr>
          <w:noProof/>
          <w:lang w:val="es-ES_tradnl"/>
        </w:rPr>
        <w:t xml:space="preserve"> </w:t>
      </w:r>
    </w:p>
    <w:p w14:paraId="1700D121" w14:textId="77777777" w:rsidR="00603924" w:rsidRDefault="00603924" w:rsidP="0090085B">
      <w:pPr>
        <w:jc w:val="both"/>
        <w:rPr>
          <w:noProof/>
          <w:lang w:val="es-ES_tradnl"/>
        </w:rPr>
      </w:pPr>
    </w:p>
    <w:p w14:paraId="5F2EE026" w14:textId="18E15183" w:rsidR="0090085B" w:rsidRPr="000D52ED" w:rsidRDefault="0090085B" w:rsidP="0090085B">
      <w:pPr>
        <w:jc w:val="both"/>
        <w:rPr>
          <w:noProof/>
          <w:lang w:val="es-ES_tradnl"/>
        </w:rPr>
      </w:pPr>
      <w:r w:rsidRPr="000D52ED">
        <w:rPr>
          <w:noProof/>
          <w:lang w:val="es-ES_tradnl"/>
        </w:rPr>
        <w:t>Adicional a lo anterior y en atención a las indicaciones brindadas sobre los artículos 2.4.2.11 y</w:t>
      </w:r>
      <w:r w:rsidR="00B42420" w:rsidRPr="000D52ED">
        <w:rPr>
          <w:noProof/>
          <w:lang w:val="es-ES_tradnl"/>
        </w:rPr>
        <w:t xml:space="preserve"> </w:t>
      </w:r>
      <w:r w:rsidRPr="000D52ED">
        <w:rPr>
          <w:noProof/>
          <w:lang w:val="es-ES_tradnl"/>
        </w:rPr>
        <w:t>2.4.3.3.3.1</w:t>
      </w:r>
      <w:r w:rsidR="00641218" w:rsidRPr="000D52ED">
        <w:rPr>
          <w:noProof/>
          <w:lang w:val="es-ES_tradnl"/>
        </w:rPr>
        <w:t>, se decidió acoger la sugerencia de la Dirección de Desarrollo del Derecho y del Ordenamiento Jurídico de incluir estos en el acápite de normas de modificación</w:t>
      </w:r>
      <w:r w:rsidR="001E0DAD">
        <w:rPr>
          <w:noProof/>
          <w:lang w:val="es-ES_tradnl"/>
        </w:rPr>
        <w:t>.</w:t>
      </w:r>
      <w:r w:rsidR="00641218" w:rsidRPr="000D52ED">
        <w:rPr>
          <w:noProof/>
          <w:lang w:val="es-ES_tradnl"/>
        </w:rPr>
        <w:t xml:space="preserve"> </w:t>
      </w:r>
    </w:p>
    <w:p w14:paraId="29AB9D3F" w14:textId="77777777" w:rsidR="00603924" w:rsidRDefault="00603924" w:rsidP="00715578">
      <w:pPr>
        <w:jc w:val="both"/>
        <w:rPr>
          <w:noProof/>
          <w:lang w:val="es-ES_tradnl"/>
        </w:rPr>
      </w:pPr>
    </w:p>
    <w:p w14:paraId="1AB961E4" w14:textId="15639DDB" w:rsidR="002747C6" w:rsidRPr="000D52ED" w:rsidRDefault="00FE6F47" w:rsidP="00715578">
      <w:pPr>
        <w:jc w:val="both"/>
        <w:rPr>
          <w:noProof/>
          <w:lang w:val="es-ES_tradnl"/>
        </w:rPr>
      </w:pPr>
      <w:r w:rsidRPr="000D52ED">
        <w:rPr>
          <w:noProof/>
          <w:lang w:val="es-ES_tradnl"/>
        </w:rPr>
        <w:t>L</w:t>
      </w:r>
      <w:r w:rsidR="0034610C" w:rsidRPr="000D52ED">
        <w:rPr>
          <w:noProof/>
          <w:lang w:val="es-ES_tradnl"/>
        </w:rPr>
        <w:t xml:space="preserve">as </w:t>
      </w:r>
      <w:r w:rsidR="00905ED2" w:rsidRPr="000D52ED">
        <w:rPr>
          <w:noProof/>
          <w:lang w:val="es-ES_tradnl"/>
        </w:rPr>
        <w:t>disposiciones</w:t>
      </w:r>
      <w:r w:rsidR="0034610C" w:rsidRPr="000D52ED">
        <w:rPr>
          <w:noProof/>
          <w:lang w:val="es-ES_tradnl"/>
        </w:rPr>
        <w:t xml:space="preserve"> que se citan</w:t>
      </w:r>
      <w:r w:rsidR="0044780C" w:rsidRPr="000D52ED">
        <w:rPr>
          <w:noProof/>
          <w:lang w:val="es-ES_tradnl"/>
        </w:rPr>
        <w:t xml:space="preserve"> </w:t>
      </w:r>
      <w:r w:rsidR="008A6E4C" w:rsidRPr="000D52ED">
        <w:rPr>
          <w:noProof/>
          <w:lang w:val="es-ES_tradnl"/>
        </w:rPr>
        <w:t xml:space="preserve">a </w:t>
      </w:r>
      <w:r w:rsidR="00DF1AFD" w:rsidRPr="000D52ED">
        <w:rPr>
          <w:noProof/>
          <w:lang w:val="es-ES_tradnl"/>
        </w:rPr>
        <w:t>continuación</w:t>
      </w:r>
      <w:r w:rsidR="00610AB3" w:rsidRPr="000D52ED">
        <w:rPr>
          <w:noProof/>
          <w:lang w:val="es-ES_tradnl"/>
        </w:rPr>
        <w:t xml:space="preserve"> </w:t>
      </w:r>
      <w:r w:rsidR="0034610C" w:rsidRPr="000D52ED">
        <w:rPr>
          <w:noProof/>
          <w:lang w:val="es-ES_tradnl"/>
        </w:rPr>
        <w:t>cuenta</w:t>
      </w:r>
      <w:r w:rsidRPr="000D52ED">
        <w:rPr>
          <w:noProof/>
          <w:lang w:val="es-ES_tradnl"/>
        </w:rPr>
        <w:t>n</w:t>
      </w:r>
      <w:r w:rsidR="0034610C" w:rsidRPr="000D52ED">
        <w:rPr>
          <w:noProof/>
          <w:lang w:val="es-ES_tradnl"/>
        </w:rPr>
        <w:t xml:space="preserve"> con la aprobación de los jefes de las Oficinas Asesoras jurídicas</w:t>
      </w:r>
      <w:r w:rsidR="00D26929" w:rsidRPr="000D52ED">
        <w:rPr>
          <w:noProof/>
          <w:lang w:val="es-ES_tradnl"/>
        </w:rPr>
        <w:t>:</w:t>
      </w:r>
      <w:r w:rsidR="00715578" w:rsidRPr="000D52ED">
        <w:rPr>
          <w:noProof/>
          <w:lang w:val="es-ES_tradnl"/>
        </w:rPr>
        <w:t xml:space="preserve"> </w:t>
      </w:r>
    </w:p>
    <w:p w14:paraId="2EAB73D0" w14:textId="133ACA44" w:rsidR="00EE3DF4" w:rsidRPr="000D52ED" w:rsidRDefault="00EE3DF4" w:rsidP="00E16D5F">
      <w:pPr>
        <w:jc w:val="both"/>
        <w:rPr>
          <w:noProof/>
          <w:lang w:val="es-ES_tradnl"/>
        </w:rPr>
      </w:pPr>
    </w:p>
    <w:tbl>
      <w:tblPr>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975"/>
        <w:gridCol w:w="2649"/>
        <w:gridCol w:w="2748"/>
        <w:gridCol w:w="2836"/>
      </w:tblGrid>
      <w:tr w:rsidR="00641218" w:rsidRPr="00CA558D" w14:paraId="051CFB16" w14:textId="77777777" w:rsidTr="00FC65E5">
        <w:trPr>
          <w:cantSplit/>
          <w:trHeight w:val="432"/>
          <w:tblHeader/>
        </w:trPr>
        <w:tc>
          <w:tcPr>
            <w:tcW w:w="221" w:type="pct"/>
            <w:shd w:val="clear" w:color="000000" w:fill="FFFFFF"/>
            <w:noWrap/>
            <w:hideMark/>
          </w:tcPr>
          <w:p w14:paraId="67F44C30"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No.: </w:t>
            </w:r>
          </w:p>
        </w:tc>
        <w:tc>
          <w:tcPr>
            <w:tcW w:w="506" w:type="pct"/>
            <w:shd w:val="clear" w:color="000000" w:fill="FFFFFF"/>
            <w:hideMark/>
          </w:tcPr>
          <w:p w14:paraId="221BAACD"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ARTÍCULO REVISADO:</w:t>
            </w:r>
          </w:p>
        </w:tc>
        <w:tc>
          <w:tcPr>
            <w:tcW w:w="1375" w:type="pct"/>
            <w:shd w:val="clear" w:color="000000" w:fill="FFFFFF"/>
            <w:hideMark/>
          </w:tcPr>
          <w:p w14:paraId="1A743A64"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TEXTO DEL ARTÍCULO OBJETO DE DEPURACIÓN:</w:t>
            </w:r>
          </w:p>
        </w:tc>
        <w:tc>
          <w:tcPr>
            <w:tcW w:w="1426" w:type="pct"/>
            <w:shd w:val="clear" w:color="000000" w:fill="FFFFFF"/>
            <w:hideMark/>
          </w:tcPr>
          <w:p w14:paraId="77F0BF7A"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PROPUESTA MODIFICACIÓN: </w:t>
            </w:r>
          </w:p>
        </w:tc>
        <w:tc>
          <w:tcPr>
            <w:tcW w:w="1472" w:type="pct"/>
            <w:shd w:val="clear" w:color="000000" w:fill="FFFFFF"/>
            <w:hideMark/>
          </w:tcPr>
          <w:p w14:paraId="69EEB184"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COMENTARIO EQUIPO: </w:t>
            </w:r>
          </w:p>
        </w:tc>
      </w:tr>
      <w:tr w:rsidR="00641218" w:rsidRPr="00CA558D" w14:paraId="5A704358" w14:textId="77777777" w:rsidTr="00FC65E5">
        <w:trPr>
          <w:cantSplit/>
          <w:trHeight w:val="5359"/>
          <w:tblHeader/>
        </w:trPr>
        <w:tc>
          <w:tcPr>
            <w:tcW w:w="221" w:type="pct"/>
            <w:shd w:val="clear" w:color="000000" w:fill="FFFFFF"/>
            <w:noWrap/>
            <w:hideMark/>
          </w:tcPr>
          <w:p w14:paraId="43D91E35" w14:textId="77777777" w:rsidR="00641218" w:rsidRPr="000D52ED" w:rsidRDefault="00641218" w:rsidP="00FC65E5">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1</w:t>
            </w:r>
          </w:p>
        </w:tc>
        <w:tc>
          <w:tcPr>
            <w:tcW w:w="506" w:type="pct"/>
            <w:shd w:val="clear" w:color="000000" w:fill="FFFFFF"/>
            <w:hideMark/>
          </w:tcPr>
          <w:p w14:paraId="7B68BF53" w14:textId="77777777" w:rsidR="00641218" w:rsidRPr="000D52ED" w:rsidRDefault="00641218" w:rsidP="00FC65E5">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Parte 2- Titulo 6- Capitulo 5- Sección 2- Artículo 2.2.6.5.2.7</w:t>
            </w:r>
          </w:p>
        </w:tc>
        <w:tc>
          <w:tcPr>
            <w:tcW w:w="1375" w:type="pct"/>
            <w:shd w:val="clear" w:color="000000" w:fill="FFFFFF"/>
            <w:hideMark/>
          </w:tcPr>
          <w:p w14:paraId="7C80DED1"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Artículo 2.2.6.5.2.7. Responsables de la oferta de alimentación en la transición. </w:t>
            </w:r>
            <w:r w:rsidRPr="000D52ED">
              <w:rPr>
                <w:rFonts w:ascii="Calibri" w:hAnsi="Calibri" w:cs="Calibri"/>
                <w:noProof/>
                <w:color w:val="000000"/>
                <w:sz w:val="16"/>
                <w:szCs w:val="16"/>
                <w:lang w:val="es-ES_tradnl" w:eastAsia="es-CO"/>
              </w:rPr>
              <w:t>El Instituto Colombiano de Bienestar Familiar debe implementar en un plazo máximo de tres meses, contados a partir del 20 de diciembre de 2011, un programa único de alimentación para los hogares en situación de desplazamiento que continúan presentando niveles de vulnerabilidad relativos a este componente y no han logrado suplir dicha necesidad a través de sus propios medios o de su participación en el sistema de protección social, y para grupos especiales que por su alto nivel de vulnerabilidad requieren de este apoyo de manera temporal.</w:t>
            </w:r>
            <w:r w:rsidRPr="000D52ED">
              <w:rPr>
                <w:rFonts w:ascii="Calibri" w:hAnsi="Calibri" w:cs="Calibri"/>
                <w:noProof/>
                <w:color w:val="000000"/>
                <w:sz w:val="16"/>
                <w:szCs w:val="16"/>
                <w:lang w:val="es-ES_tradnl" w:eastAsia="es-CO"/>
              </w:rPr>
              <w:br/>
              <w:t>La Unidad Administrativa Especial para la Atención y Reparación de las Víctimas es responsable de la recepción, caracterización y remisión de las solicitudes realizadas por la población al Instituto Colombiano de Bienestar Familiar, así como de brindar acompañamiento técnico al Instituto en el desarrollo y seguimiento al programa.</w:t>
            </w:r>
          </w:p>
        </w:tc>
        <w:tc>
          <w:tcPr>
            <w:tcW w:w="1426" w:type="pct"/>
            <w:shd w:val="clear" w:color="000000" w:fill="FFFFFF"/>
            <w:hideMark/>
          </w:tcPr>
          <w:p w14:paraId="76F0E7F1" w14:textId="47796F1A"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Artículo 2.2.6.5.2.7. Responsables de la oferta de alimentación en la transición. </w:t>
            </w:r>
            <w:r w:rsidRPr="000D52ED">
              <w:rPr>
                <w:rFonts w:ascii="Calibri" w:hAnsi="Calibri" w:cs="Calibri"/>
                <w:noProof/>
                <w:color w:val="000000"/>
                <w:sz w:val="16"/>
                <w:szCs w:val="16"/>
                <w:lang w:val="es-ES_tradnl" w:eastAsia="es-CO"/>
              </w:rPr>
              <w:t xml:space="preserve">La Unidad Administrativa Especial para la Atención y Reparación de las Víctimas debe </w:t>
            </w:r>
            <w:r w:rsidRPr="00D533E1">
              <w:rPr>
                <w:rFonts w:ascii="Calibri" w:hAnsi="Calibri" w:cs="Calibri"/>
                <w:noProof/>
                <w:color w:val="000000"/>
                <w:sz w:val="16"/>
                <w:szCs w:val="16"/>
                <w:lang w:val="es-ES_tradnl" w:eastAsia="es-CO"/>
              </w:rPr>
              <w:t xml:space="preserve">implementar </w:t>
            </w:r>
            <w:r w:rsidRPr="000D52ED">
              <w:rPr>
                <w:rFonts w:ascii="Calibri" w:hAnsi="Calibri" w:cs="Calibri"/>
                <w:noProof/>
                <w:color w:val="000000"/>
                <w:sz w:val="16"/>
                <w:szCs w:val="16"/>
                <w:lang w:val="es-ES_tradnl" w:eastAsia="es-CO"/>
              </w:rPr>
              <w:t>un programa único de alimentación para los hogares en situación de desplazamiento que continúan presentando niveles de vulnerabilidad relativos a este componente y no han logrado suplir dicha necesidad a través de sus propios medios o de su participación en el sistema de protección social, y para grupos especiales que por su alto nivel de vulnerabilidad requieren de este apoyo de manera temporal.</w:t>
            </w:r>
            <w:r w:rsidRPr="000D52ED">
              <w:rPr>
                <w:rFonts w:ascii="Calibri" w:hAnsi="Calibri" w:cs="Calibri"/>
                <w:noProof/>
                <w:color w:val="000000"/>
                <w:sz w:val="16"/>
                <w:szCs w:val="16"/>
                <w:lang w:val="es-ES_tradnl" w:eastAsia="es-CO"/>
              </w:rPr>
              <w:br/>
              <w:t>La Unidad Administrativa Especial para la Atención y Reparación de las Víctimas es responsable de la recepción, caracterización y remisión de las solicitudes realizadas por la población al Instituto Colombiano de Bienestar Familiar, así como de brindar acompañamiento técnico al Instituto en el desarrollo y seguimiento al programa.</w:t>
            </w:r>
          </w:p>
        </w:tc>
        <w:tc>
          <w:tcPr>
            <w:tcW w:w="1472" w:type="pct"/>
            <w:shd w:val="clear" w:color="000000" w:fill="FFFFFF"/>
            <w:hideMark/>
          </w:tcPr>
          <w:p w14:paraId="071A607D" w14:textId="659C080C" w:rsidR="00683328" w:rsidRDefault="00641218" w:rsidP="00FC65E5">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Estos apartados normativos que conferían competencias al ICBF acaeció el criterio de decaimiento, en la medida en que la norma que sustentaba la competencia en materia de alimentación fue modificada por el artículo 122 de la Ley 1753 de 2015. Esto, considerando el concepto del Consejo de Estado que indica “(…) El decaimiento de los actos administrativos es una figura en virtud de la cual se predica que estos, a pesar de no haber sido anulados por sentencia judicial, pierden su fuerza ejecutoria. Esa pérdida de fuerza ejecutoria es consecuencia de la desaparición de sus fundamentos de hecho o de derecho”.</w:t>
            </w:r>
          </w:p>
          <w:p w14:paraId="2DEDAC65" w14:textId="11FB7816" w:rsidR="00B71929" w:rsidRDefault="00B71929" w:rsidP="00FC65E5">
            <w:pPr>
              <w:rPr>
                <w:rFonts w:ascii="Calibri" w:hAnsi="Calibri" w:cs="Calibri"/>
                <w:noProof/>
                <w:color w:val="000000"/>
                <w:sz w:val="16"/>
                <w:szCs w:val="16"/>
                <w:lang w:val="es-ES_tradnl" w:eastAsia="es-CO"/>
              </w:rPr>
            </w:pPr>
          </w:p>
          <w:p w14:paraId="4D5AC270" w14:textId="4CF0AEBF" w:rsidR="007D4524" w:rsidRPr="000D52ED" w:rsidRDefault="00B71929" w:rsidP="007D4524">
            <w:pPr>
              <w:rPr>
                <w:rFonts w:ascii="Calibri" w:hAnsi="Calibri" w:cs="Calibri"/>
                <w:noProof/>
                <w:color w:val="000000"/>
                <w:sz w:val="16"/>
                <w:szCs w:val="16"/>
                <w:lang w:val="es-ES_tradnl" w:eastAsia="es-CO"/>
              </w:rPr>
            </w:pPr>
            <w:r w:rsidRPr="00B845F7">
              <w:rPr>
                <w:rFonts w:ascii="Calibri" w:hAnsi="Calibri" w:cs="Calibri"/>
                <w:noProof/>
                <w:color w:val="000000"/>
                <w:sz w:val="16"/>
                <w:szCs w:val="16"/>
                <w:lang w:val="es-ES_tradnl" w:eastAsia="es-CO"/>
              </w:rPr>
              <w:t>De igual manera, desde el año 2015, la Unidad Administrativa Especial para la Atención y Reparación de las Víctimas asumio las actividades relacionadas con los procesos de alimentación en marcados en lo dispuesto en Ley 1753 de 2015</w:t>
            </w:r>
            <w:r w:rsidR="007D4524" w:rsidRPr="00B845F7">
              <w:rPr>
                <w:rFonts w:ascii="Calibri" w:hAnsi="Calibri" w:cs="Calibri"/>
                <w:noProof/>
                <w:color w:val="000000"/>
                <w:sz w:val="16"/>
                <w:szCs w:val="16"/>
                <w:lang w:val="es-ES_tradnl" w:eastAsia="es-CO"/>
              </w:rPr>
              <w:t>, por lo cual, el plazo  de tres meses contados a partir del 20 de diciembre de 2011 carece de objeto</w:t>
            </w:r>
            <w:r w:rsidR="00D533E1" w:rsidRPr="00B845F7">
              <w:rPr>
                <w:rFonts w:ascii="Calibri" w:hAnsi="Calibri" w:cs="Calibri"/>
                <w:noProof/>
                <w:color w:val="000000"/>
                <w:sz w:val="16"/>
                <w:szCs w:val="16"/>
                <w:lang w:val="es-ES_tradnl" w:eastAsia="es-CO"/>
              </w:rPr>
              <w:t>, por lo cual se procedera a su eliminacion del texto de la no</w:t>
            </w:r>
            <w:r w:rsidR="00603924" w:rsidRPr="00B845F7">
              <w:rPr>
                <w:rFonts w:ascii="Calibri" w:hAnsi="Calibri" w:cs="Calibri"/>
                <w:noProof/>
                <w:color w:val="000000"/>
                <w:sz w:val="16"/>
                <w:szCs w:val="16"/>
                <w:lang w:val="es-ES_tradnl" w:eastAsia="es-CO"/>
              </w:rPr>
              <w:t>r</w:t>
            </w:r>
            <w:r w:rsidR="00D533E1" w:rsidRPr="00B845F7">
              <w:rPr>
                <w:rFonts w:ascii="Calibri" w:hAnsi="Calibri" w:cs="Calibri"/>
                <w:noProof/>
                <w:color w:val="000000"/>
                <w:sz w:val="16"/>
                <w:szCs w:val="16"/>
                <w:lang w:val="es-ES_tradnl" w:eastAsia="es-CO"/>
              </w:rPr>
              <w:t>ma</w:t>
            </w:r>
            <w:r w:rsidR="007D4524" w:rsidRPr="00B845F7">
              <w:rPr>
                <w:rFonts w:ascii="Calibri" w:hAnsi="Calibri" w:cs="Calibri"/>
                <w:noProof/>
                <w:color w:val="000000"/>
                <w:sz w:val="16"/>
                <w:szCs w:val="16"/>
                <w:lang w:val="es-ES_tradnl" w:eastAsia="es-CO"/>
              </w:rPr>
              <w:t>.</w:t>
            </w:r>
          </w:p>
          <w:p w14:paraId="12FEF7AC" w14:textId="529FCDAC" w:rsidR="00641218" w:rsidRPr="000D52ED" w:rsidRDefault="00641218" w:rsidP="00FC65E5">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br/>
            </w:r>
          </w:p>
        </w:tc>
      </w:tr>
    </w:tbl>
    <w:p w14:paraId="516E3CBD" w14:textId="7CEEF228" w:rsidR="00641218" w:rsidRPr="000D52ED" w:rsidRDefault="00641218" w:rsidP="00E16D5F">
      <w:pPr>
        <w:jc w:val="both"/>
        <w:rPr>
          <w:noProof/>
          <w:lang w:val="es-ES_tradnl"/>
        </w:rPr>
      </w:pPr>
    </w:p>
    <w:tbl>
      <w:tblPr>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
        <w:gridCol w:w="872"/>
        <w:gridCol w:w="2815"/>
        <w:gridCol w:w="2698"/>
        <w:gridCol w:w="2830"/>
      </w:tblGrid>
      <w:tr w:rsidR="00641218" w:rsidRPr="00CA558D" w14:paraId="3C6F8630" w14:textId="77777777" w:rsidTr="00641218">
        <w:trPr>
          <w:cantSplit/>
          <w:trHeight w:val="56"/>
          <w:tblHeader/>
        </w:trPr>
        <w:tc>
          <w:tcPr>
            <w:tcW w:w="217" w:type="pct"/>
            <w:tcBorders>
              <w:top w:val="single" w:sz="4" w:space="0" w:color="auto"/>
              <w:left w:val="single" w:sz="4" w:space="0" w:color="auto"/>
              <w:bottom w:val="single" w:sz="4" w:space="0" w:color="auto"/>
              <w:right w:val="single" w:sz="4" w:space="0" w:color="auto"/>
            </w:tcBorders>
            <w:shd w:val="clear" w:color="000000" w:fill="FFFFFF"/>
            <w:noWrap/>
            <w:hideMark/>
          </w:tcPr>
          <w:p w14:paraId="4FDE6A6C"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lastRenderedPageBreak/>
              <w:t xml:space="preserve">No.: </w:t>
            </w:r>
          </w:p>
        </w:tc>
        <w:tc>
          <w:tcPr>
            <w:tcW w:w="453" w:type="pct"/>
            <w:tcBorders>
              <w:top w:val="single" w:sz="4" w:space="0" w:color="auto"/>
              <w:left w:val="single" w:sz="4" w:space="0" w:color="auto"/>
              <w:bottom w:val="single" w:sz="4" w:space="0" w:color="auto"/>
              <w:right w:val="single" w:sz="4" w:space="0" w:color="auto"/>
            </w:tcBorders>
            <w:shd w:val="clear" w:color="000000" w:fill="FFFFFF"/>
            <w:hideMark/>
          </w:tcPr>
          <w:p w14:paraId="22A5883A"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ARTÍCULO REVISADO:</w:t>
            </w:r>
          </w:p>
        </w:tc>
        <w:tc>
          <w:tcPr>
            <w:tcW w:w="1461" w:type="pct"/>
            <w:tcBorders>
              <w:top w:val="single" w:sz="4" w:space="0" w:color="auto"/>
              <w:left w:val="single" w:sz="4" w:space="0" w:color="auto"/>
              <w:bottom w:val="single" w:sz="4" w:space="0" w:color="auto"/>
              <w:right w:val="single" w:sz="4" w:space="0" w:color="auto"/>
            </w:tcBorders>
            <w:shd w:val="clear" w:color="000000" w:fill="FFFFFF"/>
            <w:hideMark/>
          </w:tcPr>
          <w:p w14:paraId="4367EE7D"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TEXTO DEL ARTÍCULO OBJETO DE DEPURACIÓN:</w:t>
            </w:r>
          </w:p>
        </w:tc>
        <w:tc>
          <w:tcPr>
            <w:tcW w:w="1400" w:type="pct"/>
            <w:tcBorders>
              <w:top w:val="single" w:sz="4" w:space="0" w:color="auto"/>
              <w:left w:val="single" w:sz="4" w:space="0" w:color="auto"/>
              <w:bottom w:val="single" w:sz="4" w:space="0" w:color="auto"/>
              <w:right w:val="single" w:sz="4" w:space="0" w:color="auto"/>
            </w:tcBorders>
            <w:shd w:val="clear" w:color="000000" w:fill="FFFFFF"/>
            <w:hideMark/>
          </w:tcPr>
          <w:p w14:paraId="05350DF3"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PROPUESTA MODIFICACIÓN: </w:t>
            </w:r>
          </w:p>
        </w:tc>
        <w:tc>
          <w:tcPr>
            <w:tcW w:w="1469" w:type="pct"/>
            <w:tcBorders>
              <w:top w:val="single" w:sz="4" w:space="0" w:color="auto"/>
              <w:left w:val="single" w:sz="4" w:space="0" w:color="auto"/>
              <w:bottom w:val="single" w:sz="4" w:space="0" w:color="auto"/>
              <w:right w:val="single" w:sz="4" w:space="0" w:color="auto"/>
            </w:tcBorders>
            <w:shd w:val="clear" w:color="000000" w:fill="FFFFFF"/>
            <w:hideMark/>
          </w:tcPr>
          <w:p w14:paraId="5F64E344"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COMENTARIO EQUIPO: </w:t>
            </w:r>
          </w:p>
        </w:tc>
      </w:tr>
      <w:tr w:rsidR="00641218" w:rsidRPr="00CA558D" w14:paraId="0C352866" w14:textId="77777777" w:rsidTr="00641218">
        <w:trPr>
          <w:cantSplit/>
          <w:trHeight w:val="3805"/>
          <w:tblHeader/>
        </w:trPr>
        <w:tc>
          <w:tcPr>
            <w:tcW w:w="217" w:type="pct"/>
            <w:tcBorders>
              <w:top w:val="single" w:sz="4" w:space="0" w:color="auto"/>
              <w:left w:val="single" w:sz="4" w:space="0" w:color="auto"/>
              <w:bottom w:val="single" w:sz="4" w:space="0" w:color="auto"/>
              <w:right w:val="single" w:sz="4" w:space="0" w:color="auto"/>
            </w:tcBorders>
            <w:shd w:val="clear" w:color="000000" w:fill="FFFFFF"/>
            <w:noWrap/>
            <w:hideMark/>
          </w:tcPr>
          <w:p w14:paraId="1D7BBB27" w14:textId="77777777" w:rsidR="00641218" w:rsidRPr="000D52ED" w:rsidRDefault="00641218" w:rsidP="00FC65E5">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2</w:t>
            </w:r>
          </w:p>
        </w:tc>
        <w:tc>
          <w:tcPr>
            <w:tcW w:w="453" w:type="pct"/>
            <w:tcBorders>
              <w:top w:val="single" w:sz="4" w:space="0" w:color="auto"/>
              <w:left w:val="single" w:sz="4" w:space="0" w:color="auto"/>
              <w:bottom w:val="single" w:sz="4" w:space="0" w:color="auto"/>
              <w:right w:val="single" w:sz="4" w:space="0" w:color="auto"/>
            </w:tcBorders>
            <w:shd w:val="clear" w:color="000000" w:fill="FFFFFF"/>
            <w:hideMark/>
          </w:tcPr>
          <w:p w14:paraId="2EC7873C" w14:textId="77777777" w:rsidR="00641218" w:rsidRPr="000D52ED" w:rsidRDefault="00641218" w:rsidP="00FC65E5">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Parte 2- Titulo 6- Capitulo 5- Sección 2- Artículo 2.2.6.5.2.8</w:t>
            </w:r>
          </w:p>
        </w:tc>
        <w:tc>
          <w:tcPr>
            <w:tcW w:w="1461" w:type="pct"/>
            <w:tcBorders>
              <w:top w:val="single" w:sz="4" w:space="0" w:color="auto"/>
              <w:left w:val="single" w:sz="4" w:space="0" w:color="auto"/>
              <w:bottom w:val="single" w:sz="4" w:space="0" w:color="auto"/>
              <w:right w:val="single" w:sz="4" w:space="0" w:color="auto"/>
            </w:tcBorders>
            <w:shd w:val="clear" w:color="000000" w:fill="FFFFFF"/>
            <w:hideMark/>
          </w:tcPr>
          <w:p w14:paraId="379BC7E3"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Artículo 2.2.6.5.2.8. Componentes de la oferta de alimentación. </w:t>
            </w:r>
            <w:r w:rsidRPr="000D52ED">
              <w:rPr>
                <w:rFonts w:ascii="Calibri" w:hAnsi="Calibri" w:cs="Calibri"/>
                <w:noProof/>
                <w:color w:val="000000"/>
                <w:sz w:val="16"/>
                <w:szCs w:val="16"/>
                <w:lang w:val="es-ES_tradnl" w:eastAsia="es-CO"/>
              </w:rPr>
              <w:t>El programa que se desarrolle para este fin debe garantizar el acceso de la población destinataria a los siguientes componentes:</w:t>
            </w:r>
            <w:r w:rsidRPr="000D52ED">
              <w:rPr>
                <w:rFonts w:ascii="Calibri" w:hAnsi="Calibri" w:cs="Calibri"/>
                <w:noProof/>
                <w:color w:val="000000"/>
                <w:sz w:val="16"/>
                <w:szCs w:val="16"/>
                <w:lang w:val="es-ES_tradnl" w:eastAsia="es-CO"/>
              </w:rPr>
              <w:br/>
              <w:t>1. Entrega de alimentos según la composición del grupo familiar, para lo cual el Instituto Colombiano de Bienestar Familiar debe diseñar una estrategia que garantice una adecuada distribución, con enfoque diferencial.</w:t>
            </w:r>
            <w:r w:rsidRPr="000D52ED">
              <w:rPr>
                <w:rFonts w:ascii="Calibri" w:hAnsi="Calibri" w:cs="Calibri"/>
                <w:noProof/>
                <w:color w:val="000000"/>
                <w:sz w:val="16"/>
                <w:szCs w:val="16"/>
                <w:lang w:val="es-ES_tradnl" w:eastAsia="es-CO"/>
              </w:rPr>
              <w:br/>
              <w:t>2. Seguimiento a los hogares, con el fin de evaluar al estado de nutrición de sus miembros, en especial de aquellos de mayor vulnerabilidad: niños, niñas y adolescentes, adultos mayores, madres gestantes y lactantes y personas con discapacidad.</w:t>
            </w:r>
            <w:r w:rsidRPr="000D52ED">
              <w:rPr>
                <w:rFonts w:ascii="Calibri" w:hAnsi="Calibri" w:cs="Calibri"/>
                <w:noProof/>
                <w:color w:val="000000"/>
                <w:sz w:val="16"/>
                <w:szCs w:val="16"/>
                <w:lang w:val="es-ES_tradnl" w:eastAsia="es-CO"/>
              </w:rPr>
              <w:br/>
              <w:t>3. Desarrollo de estrategias de orientación y fortalecimiento de hábitos alimenticios dentro del hogar</w:t>
            </w:r>
            <w:r w:rsidRPr="000D52ED">
              <w:rPr>
                <w:rFonts w:ascii="Calibri" w:hAnsi="Calibri" w:cs="Calibri"/>
                <w:b/>
                <w:bCs/>
                <w:noProof/>
                <w:color w:val="000000"/>
                <w:sz w:val="16"/>
                <w:szCs w:val="16"/>
                <w:lang w:val="es-ES_tradnl" w:eastAsia="es-CO"/>
              </w:rPr>
              <w:t>.</w:t>
            </w:r>
          </w:p>
        </w:tc>
        <w:tc>
          <w:tcPr>
            <w:tcW w:w="1400" w:type="pct"/>
            <w:tcBorders>
              <w:top w:val="single" w:sz="4" w:space="0" w:color="auto"/>
              <w:left w:val="single" w:sz="4" w:space="0" w:color="auto"/>
              <w:bottom w:val="single" w:sz="4" w:space="0" w:color="auto"/>
              <w:right w:val="single" w:sz="4" w:space="0" w:color="auto"/>
            </w:tcBorders>
            <w:shd w:val="clear" w:color="000000" w:fill="FFFFFF"/>
            <w:hideMark/>
          </w:tcPr>
          <w:p w14:paraId="6E50270E" w14:textId="2AE242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Artículo 2.2.6.5.2.8. Componentes de la oferta de alimentación.</w:t>
            </w:r>
            <w:r w:rsidR="00B42420" w:rsidRPr="000D52ED">
              <w:rPr>
                <w:rFonts w:ascii="Calibri" w:hAnsi="Calibri" w:cs="Calibri"/>
                <w:b/>
                <w:bCs/>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El programa que se desarrolle para este fin debe garantizar el acceso de la población destinataria a los siguientes componentes:</w:t>
            </w:r>
            <w:r w:rsidRPr="000D52ED">
              <w:rPr>
                <w:rFonts w:ascii="Calibri" w:hAnsi="Calibri" w:cs="Calibri"/>
                <w:noProof/>
                <w:color w:val="000000"/>
                <w:sz w:val="16"/>
                <w:szCs w:val="16"/>
                <w:lang w:val="es-ES_tradnl" w:eastAsia="es-CO"/>
              </w:rPr>
              <w:br/>
              <w:t>1. Entrega de alimentos según la composición del grupo familiar, para lo cual la Unidad Administrativa Especial para la Atención y Reparación de las Víctimas debe diseñar una estrategia que garantice una adecuada distribución, con enfoque diferencial.</w:t>
            </w:r>
            <w:r w:rsidRPr="000D52ED">
              <w:rPr>
                <w:rFonts w:ascii="Calibri" w:hAnsi="Calibri" w:cs="Calibri"/>
                <w:noProof/>
                <w:color w:val="000000"/>
                <w:sz w:val="16"/>
                <w:szCs w:val="16"/>
                <w:lang w:val="es-ES_tradnl" w:eastAsia="es-CO"/>
              </w:rPr>
              <w:br/>
              <w:t>2. Seguimiento a los hogares, con el fin de evaluar al estado de nutrición de sus miembros, en especial de aquellos de mayor vulnerabilidad: niños, niñas y adolescentes, adultos mayores, madres gestantes y lactantes y personas con discapacidad.</w:t>
            </w:r>
            <w:r w:rsidRPr="000D52ED">
              <w:rPr>
                <w:rFonts w:ascii="Calibri" w:hAnsi="Calibri" w:cs="Calibri"/>
                <w:noProof/>
                <w:color w:val="000000"/>
                <w:sz w:val="16"/>
                <w:szCs w:val="16"/>
                <w:lang w:val="es-ES_tradnl" w:eastAsia="es-CO"/>
              </w:rPr>
              <w:br/>
              <w:t>3. Desarrollo de estrategias de orientación y fortalecimiento de hábitos alimenticios dentro del hogar.</w:t>
            </w:r>
          </w:p>
        </w:tc>
        <w:tc>
          <w:tcPr>
            <w:tcW w:w="1469" w:type="pct"/>
            <w:tcBorders>
              <w:top w:val="single" w:sz="4" w:space="0" w:color="auto"/>
              <w:left w:val="single" w:sz="4" w:space="0" w:color="auto"/>
              <w:bottom w:val="single" w:sz="4" w:space="0" w:color="auto"/>
              <w:right w:val="single" w:sz="4" w:space="0" w:color="auto"/>
            </w:tcBorders>
            <w:shd w:val="clear" w:color="000000" w:fill="FFFFFF"/>
            <w:hideMark/>
          </w:tcPr>
          <w:p w14:paraId="01FFF1DE" w14:textId="77777777" w:rsidR="00641218" w:rsidRDefault="00641218" w:rsidP="00FC65E5">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Estos apartados normativos que conferían competencias al ICBF</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acaeció el criterio de decaimiento, en la medida en que la norma que sustentaba la competencia en materia de alimentación</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fue modificada por el artículo 122 de la Ley 1753 de 2015.Esto, considerando el concepto del Consejo de Estado que indica “(…) El decaimiento de los actos administrativos es una figura en virtud de la cual se predica que estos, a pesar de no haber sido anulados por sentencia judicial, pierden su fuerza ejecutoria. Esa pérdida de fuerza ejecutoria es consecuencia de la desaparición de sus fundamentos de hecho o de derecho”.</w:t>
            </w:r>
          </w:p>
          <w:p w14:paraId="257882A6" w14:textId="77777777" w:rsidR="00683328" w:rsidRDefault="00683328" w:rsidP="00FC65E5">
            <w:pPr>
              <w:rPr>
                <w:rFonts w:ascii="Calibri" w:hAnsi="Calibri" w:cs="Calibri"/>
                <w:noProof/>
                <w:color w:val="000000"/>
                <w:sz w:val="16"/>
                <w:szCs w:val="16"/>
                <w:lang w:val="es-ES_tradnl" w:eastAsia="es-CO"/>
              </w:rPr>
            </w:pPr>
          </w:p>
          <w:p w14:paraId="13F72AE4" w14:textId="41897FF6" w:rsidR="00683328" w:rsidRPr="000D52ED" w:rsidRDefault="00D533E1" w:rsidP="00FC65E5">
            <w:pPr>
              <w:rPr>
                <w:rFonts w:ascii="Calibri" w:hAnsi="Calibri" w:cs="Calibri"/>
                <w:noProof/>
                <w:color w:val="000000"/>
                <w:sz w:val="16"/>
                <w:szCs w:val="16"/>
                <w:lang w:val="es-ES_tradnl" w:eastAsia="es-CO"/>
              </w:rPr>
            </w:pPr>
            <w:r w:rsidRPr="00B845F7">
              <w:rPr>
                <w:rFonts w:ascii="Calibri" w:hAnsi="Calibri" w:cs="Calibri"/>
                <w:noProof/>
                <w:color w:val="000000"/>
                <w:sz w:val="16"/>
                <w:szCs w:val="16"/>
                <w:lang w:val="es-ES_tradnl" w:eastAsia="es-CO"/>
              </w:rPr>
              <w:t>De igual manera, desde el año 2015, la Unidad Administrativa Especial para la Atención y Reparación de las Víctimas asumio las actividades relacionadas con lla entrega alimentos en marcados en lo dispuesto en Ley 1753 de 2015</w:t>
            </w:r>
            <w:r w:rsidR="00B845F7">
              <w:rPr>
                <w:rFonts w:ascii="Calibri" w:hAnsi="Calibri" w:cs="Calibri"/>
                <w:noProof/>
                <w:color w:val="000000"/>
                <w:sz w:val="16"/>
                <w:szCs w:val="16"/>
                <w:lang w:val="es-ES_tradnl" w:eastAsia="es-CO"/>
              </w:rPr>
              <w:t>.</w:t>
            </w:r>
          </w:p>
        </w:tc>
      </w:tr>
      <w:tr w:rsidR="008B2243" w:rsidRPr="00CA558D" w14:paraId="56E14A9C" w14:textId="77777777" w:rsidTr="00641218">
        <w:trPr>
          <w:cantSplit/>
          <w:trHeight w:val="432"/>
          <w:tblHeader/>
        </w:trPr>
        <w:tc>
          <w:tcPr>
            <w:tcW w:w="217" w:type="pct"/>
            <w:tcBorders>
              <w:top w:val="single" w:sz="4" w:space="0" w:color="auto"/>
              <w:left w:val="single" w:sz="4" w:space="0" w:color="auto"/>
              <w:bottom w:val="single" w:sz="4" w:space="0" w:color="auto"/>
              <w:right w:val="single" w:sz="4" w:space="0" w:color="auto"/>
            </w:tcBorders>
            <w:shd w:val="clear" w:color="000000" w:fill="FFFFFF"/>
            <w:noWrap/>
            <w:hideMark/>
          </w:tcPr>
          <w:p w14:paraId="008E2DE7" w14:textId="77777777" w:rsidR="00BB601E" w:rsidRPr="000D52ED" w:rsidRDefault="00BB601E" w:rsidP="00995497">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3</w:t>
            </w:r>
          </w:p>
        </w:tc>
        <w:tc>
          <w:tcPr>
            <w:tcW w:w="453" w:type="pct"/>
            <w:tcBorders>
              <w:top w:val="single" w:sz="4" w:space="0" w:color="auto"/>
              <w:left w:val="single" w:sz="4" w:space="0" w:color="auto"/>
              <w:bottom w:val="single" w:sz="4" w:space="0" w:color="auto"/>
              <w:right w:val="single" w:sz="4" w:space="0" w:color="auto"/>
            </w:tcBorders>
            <w:shd w:val="clear" w:color="000000" w:fill="FFFFFF"/>
            <w:hideMark/>
          </w:tcPr>
          <w:p w14:paraId="6983B48B" w14:textId="53C52DCB" w:rsidR="00BB601E" w:rsidRPr="000D52ED" w:rsidRDefault="00BB601E" w:rsidP="00995497">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Parte 2- Titulo 6- Capitulo 5- Sección 2-</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Artículo 2.2.6.5.4.6</w:t>
            </w:r>
          </w:p>
        </w:tc>
        <w:tc>
          <w:tcPr>
            <w:tcW w:w="1461" w:type="pct"/>
            <w:tcBorders>
              <w:top w:val="single" w:sz="4" w:space="0" w:color="auto"/>
              <w:left w:val="single" w:sz="4" w:space="0" w:color="auto"/>
              <w:bottom w:val="single" w:sz="4" w:space="0" w:color="auto"/>
              <w:right w:val="single" w:sz="4" w:space="0" w:color="auto"/>
            </w:tcBorders>
            <w:shd w:val="clear" w:color="000000" w:fill="FFFFFF"/>
            <w:hideMark/>
          </w:tcPr>
          <w:p w14:paraId="7CB234D6" w14:textId="0F0D0F0F" w:rsidR="00BB601E" w:rsidRPr="000D52ED" w:rsidRDefault="00BB601E" w:rsidP="00995497">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Artículo 2.2.6.5.4.6. Efectos de la identificación de carencias en el componente de alimentación. </w:t>
            </w:r>
            <w:r w:rsidRPr="000D52ED">
              <w:rPr>
                <w:rFonts w:ascii="Calibri" w:hAnsi="Calibri" w:cs="Calibri"/>
                <w:noProof/>
                <w:color w:val="000000"/>
                <w:sz w:val="16"/>
                <w:szCs w:val="16"/>
                <w:lang w:val="es-ES_tradnl" w:eastAsia="es-CO"/>
              </w:rPr>
              <w:t>La identificación de carencias en el componente de la alimentación produce los siguientes efectos:</w:t>
            </w:r>
            <w:r w:rsidRPr="000D52ED">
              <w:rPr>
                <w:rFonts w:ascii="Calibri" w:hAnsi="Calibri" w:cs="Calibri"/>
                <w:noProof/>
                <w:color w:val="000000"/>
                <w:sz w:val="16"/>
                <w:szCs w:val="16"/>
                <w:lang w:val="es-ES_tradnl" w:eastAsia="es-CO"/>
              </w:rPr>
              <w:br/>
              <w:t>1.En caso de hogares en que se identifiquen carencias graves y urgentes en el componente de alimentación, la Unidad para la Atención y Reparación integral a las Victimas entregará</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 xml:space="preserve">la atención humanitaria de emergencia correspondiente a ese componente. </w:t>
            </w:r>
            <w:r w:rsidRPr="000D52ED">
              <w:rPr>
                <w:rFonts w:ascii="Calibri" w:hAnsi="Calibri" w:cs="Calibri"/>
                <w:noProof/>
                <w:color w:val="000000"/>
                <w:sz w:val="16"/>
                <w:szCs w:val="16"/>
                <w:lang w:val="es-ES_tradnl" w:eastAsia="es-CO"/>
              </w:rPr>
              <w:br/>
              <w:t>2.En casos de hogares en que se identifiquen carencias leves en el componente de alimentación, el Instituto Colombiano de Bienestar Familiar ICBF, entregará la atención Humanitaria de transición correspondiente a ese componente.</w:t>
            </w:r>
            <w:r w:rsidR="00B42420" w:rsidRPr="000D52ED">
              <w:rPr>
                <w:rFonts w:ascii="Calibri" w:hAnsi="Calibri" w:cs="Calibri"/>
                <w:b/>
                <w:bCs/>
                <w:noProof/>
                <w:color w:val="000000"/>
                <w:sz w:val="16"/>
                <w:szCs w:val="16"/>
                <w:lang w:val="es-ES_tradnl" w:eastAsia="es-CO"/>
              </w:rPr>
              <w:t xml:space="preserve"> </w:t>
            </w:r>
          </w:p>
        </w:tc>
        <w:tc>
          <w:tcPr>
            <w:tcW w:w="1400" w:type="pct"/>
            <w:tcBorders>
              <w:top w:val="single" w:sz="4" w:space="0" w:color="auto"/>
              <w:left w:val="single" w:sz="4" w:space="0" w:color="auto"/>
              <w:bottom w:val="single" w:sz="4" w:space="0" w:color="auto"/>
              <w:right w:val="single" w:sz="4" w:space="0" w:color="auto"/>
            </w:tcBorders>
            <w:shd w:val="clear" w:color="000000" w:fill="FFFFFF"/>
            <w:hideMark/>
          </w:tcPr>
          <w:p w14:paraId="5BA1FEDC" w14:textId="4E81DF66" w:rsidR="00BB601E" w:rsidRPr="000D52ED" w:rsidRDefault="00BB601E" w:rsidP="00995497">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Artículo 2.2.6.5.4.6. Efectos de la identificación de carencias en el componente de alimentación.</w:t>
            </w:r>
            <w:r w:rsidR="00B42420" w:rsidRPr="000D52ED">
              <w:rPr>
                <w:rFonts w:ascii="Calibri" w:hAnsi="Calibri" w:cs="Calibri"/>
                <w:b/>
                <w:bCs/>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La identificación de carencias en el componente de alimentación produce los siguientes efectos:</w:t>
            </w:r>
            <w:r w:rsidRPr="000D52ED">
              <w:rPr>
                <w:rFonts w:ascii="Calibri" w:hAnsi="Calibri" w:cs="Calibri"/>
                <w:noProof/>
                <w:color w:val="000000"/>
                <w:sz w:val="16"/>
                <w:szCs w:val="16"/>
                <w:lang w:val="es-ES_tradnl" w:eastAsia="es-CO"/>
              </w:rPr>
              <w:br/>
              <w:t>En casos de hogares en que se identifiquen carencias leves, graves y urgentes en el componente de alimentación, la Unidad para la Atención y Reparación Integral a las Víctimas entregará la atención humanitaria de emergencia correspondiente a ese componente.</w:t>
            </w:r>
          </w:p>
        </w:tc>
        <w:tc>
          <w:tcPr>
            <w:tcW w:w="1469" w:type="pct"/>
            <w:tcBorders>
              <w:top w:val="single" w:sz="4" w:space="0" w:color="auto"/>
              <w:left w:val="single" w:sz="4" w:space="0" w:color="auto"/>
              <w:bottom w:val="single" w:sz="4" w:space="0" w:color="auto"/>
              <w:right w:val="single" w:sz="4" w:space="0" w:color="auto"/>
            </w:tcBorders>
            <w:shd w:val="clear" w:color="000000" w:fill="FFFFFF"/>
            <w:hideMark/>
          </w:tcPr>
          <w:p w14:paraId="57B10D94" w14:textId="77777777" w:rsidR="00BB601E" w:rsidRDefault="00BB601E" w:rsidP="00995497">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Estos apartados normativos que conferían competencias al ICBF acaeció el criterio de decaimiento, en la medida en que la norma que sustentaba la competencia en materia de alimentación fue modificada por el artículo 122 de la Ley 1753 de 2015. Esto, considerando el concepto del Consejo de Estado que indica “(…) El decaimiento de los actos administrativos es una figura en virtud de la cual se predica que estos, a pesar de no haber sido anulados por sentencia judicial, pierden su fuerza ejecutoria. Esa pérdida de fuerza ejecutoria es consecuencia de la desaparición de sus fundamentos de hecho o de derecho”.</w:t>
            </w:r>
          </w:p>
          <w:p w14:paraId="710A635F" w14:textId="77777777" w:rsidR="00683328" w:rsidRDefault="00683328" w:rsidP="00995497">
            <w:pPr>
              <w:rPr>
                <w:rFonts w:ascii="Calibri" w:hAnsi="Calibri" w:cs="Calibri"/>
                <w:noProof/>
                <w:color w:val="000000"/>
                <w:sz w:val="16"/>
                <w:szCs w:val="16"/>
                <w:lang w:val="es-ES_tradnl" w:eastAsia="es-CO"/>
              </w:rPr>
            </w:pPr>
          </w:p>
          <w:p w14:paraId="70BB2758" w14:textId="3693173E" w:rsidR="00683328" w:rsidRPr="000D52ED" w:rsidRDefault="00683328" w:rsidP="00995497">
            <w:pPr>
              <w:rPr>
                <w:rFonts w:ascii="Calibri" w:hAnsi="Calibri" w:cs="Calibri"/>
                <w:noProof/>
                <w:color w:val="000000"/>
                <w:sz w:val="16"/>
                <w:szCs w:val="16"/>
                <w:lang w:val="es-ES_tradnl" w:eastAsia="es-CO"/>
              </w:rPr>
            </w:pPr>
            <w:r>
              <w:rPr>
                <w:rFonts w:ascii="Calibri" w:hAnsi="Calibri" w:cs="Calibri"/>
                <w:noProof/>
                <w:color w:val="000000"/>
                <w:sz w:val="16"/>
                <w:szCs w:val="16"/>
                <w:lang w:val="es-ES_tradnl" w:eastAsia="es-CO"/>
              </w:rPr>
              <w:t>.</w:t>
            </w:r>
          </w:p>
        </w:tc>
      </w:tr>
    </w:tbl>
    <w:p w14:paraId="16F665DF" w14:textId="77777777" w:rsidR="00641218" w:rsidRPr="000D52ED" w:rsidRDefault="00641218">
      <w:pPr>
        <w:rPr>
          <w:noProof/>
          <w:lang w:val="es-ES_tradnl"/>
        </w:rPr>
      </w:pPr>
      <w:r w:rsidRPr="000D52ED">
        <w:rPr>
          <w:noProof/>
          <w:lang w:val="es-ES_tradnl"/>
        </w:rPr>
        <w:br w:type="page"/>
      </w:r>
    </w:p>
    <w:tbl>
      <w:tblPr>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
        <w:gridCol w:w="872"/>
        <w:gridCol w:w="2815"/>
        <w:gridCol w:w="2698"/>
        <w:gridCol w:w="2830"/>
      </w:tblGrid>
      <w:tr w:rsidR="00641218" w:rsidRPr="00CA558D" w14:paraId="34EB54C3" w14:textId="77777777" w:rsidTr="00641218">
        <w:trPr>
          <w:trHeight w:val="56"/>
          <w:tblHeader/>
        </w:trPr>
        <w:tc>
          <w:tcPr>
            <w:tcW w:w="217" w:type="pct"/>
            <w:tcBorders>
              <w:top w:val="single" w:sz="4" w:space="0" w:color="auto"/>
              <w:left w:val="single" w:sz="4" w:space="0" w:color="auto"/>
              <w:bottom w:val="single" w:sz="4" w:space="0" w:color="auto"/>
              <w:right w:val="single" w:sz="4" w:space="0" w:color="auto"/>
            </w:tcBorders>
            <w:shd w:val="clear" w:color="000000" w:fill="FFFFFF"/>
            <w:noWrap/>
            <w:hideMark/>
          </w:tcPr>
          <w:p w14:paraId="05AED111"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lastRenderedPageBreak/>
              <w:t xml:space="preserve">No.: </w:t>
            </w:r>
          </w:p>
        </w:tc>
        <w:tc>
          <w:tcPr>
            <w:tcW w:w="453" w:type="pct"/>
            <w:tcBorders>
              <w:top w:val="single" w:sz="4" w:space="0" w:color="auto"/>
              <w:left w:val="single" w:sz="4" w:space="0" w:color="auto"/>
              <w:bottom w:val="single" w:sz="4" w:space="0" w:color="auto"/>
              <w:right w:val="single" w:sz="4" w:space="0" w:color="auto"/>
            </w:tcBorders>
            <w:shd w:val="clear" w:color="000000" w:fill="FFFFFF"/>
            <w:hideMark/>
          </w:tcPr>
          <w:p w14:paraId="1E971D5E"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ARTÍCULO REVISADO:</w:t>
            </w:r>
          </w:p>
        </w:tc>
        <w:tc>
          <w:tcPr>
            <w:tcW w:w="1461" w:type="pct"/>
            <w:tcBorders>
              <w:top w:val="single" w:sz="4" w:space="0" w:color="auto"/>
              <w:left w:val="single" w:sz="4" w:space="0" w:color="auto"/>
              <w:bottom w:val="single" w:sz="4" w:space="0" w:color="auto"/>
              <w:right w:val="single" w:sz="4" w:space="0" w:color="auto"/>
            </w:tcBorders>
            <w:shd w:val="clear" w:color="000000" w:fill="FFFFFF"/>
            <w:hideMark/>
          </w:tcPr>
          <w:p w14:paraId="264E6EB9"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TEXTO DEL ARTÍCULO OBJETO DE DEPURACIÓN:</w:t>
            </w:r>
          </w:p>
        </w:tc>
        <w:tc>
          <w:tcPr>
            <w:tcW w:w="1400" w:type="pct"/>
            <w:tcBorders>
              <w:top w:val="single" w:sz="4" w:space="0" w:color="auto"/>
              <w:left w:val="single" w:sz="4" w:space="0" w:color="auto"/>
              <w:bottom w:val="single" w:sz="4" w:space="0" w:color="auto"/>
              <w:right w:val="single" w:sz="4" w:space="0" w:color="auto"/>
            </w:tcBorders>
            <w:shd w:val="clear" w:color="000000" w:fill="FFFFFF"/>
            <w:hideMark/>
          </w:tcPr>
          <w:p w14:paraId="29FA854D"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PROPUESTA MODIFICACIÓN: </w:t>
            </w:r>
          </w:p>
        </w:tc>
        <w:tc>
          <w:tcPr>
            <w:tcW w:w="1469" w:type="pct"/>
            <w:tcBorders>
              <w:top w:val="single" w:sz="4" w:space="0" w:color="auto"/>
              <w:left w:val="single" w:sz="4" w:space="0" w:color="auto"/>
              <w:bottom w:val="single" w:sz="4" w:space="0" w:color="auto"/>
              <w:right w:val="single" w:sz="4" w:space="0" w:color="auto"/>
            </w:tcBorders>
            <w:shd w:val="clear" w:color="000000" w:fill="FFFFFF"/>
            <w:hideMark/>
          </w:tcPr>
          <w:p w14:paraId="0AD8A980" w14:textId="77777777" w:rsidR="00641218" w:rsidRPr="000D52ED" w:rsidRDefault="00641218" w:rsidP="00FC65E5">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COMENTARIO EQUIPO: </w:t>
            </w:r>
          </w:p>
        </w:tc>
      </w:tr>
      <w:tr w:rsidR="008B2243" w:rsidRPr="00CA558D" w14:paraId="2FFBF81D" w14:textId="77777777" w:rsidTr="00641218">
        <w:trPr>
          <w:trHeight w:val="432"/>
          <w:tblHeader/>
        </w:trPr>
        <w:tc>
          <w:tcPr>
            <w:tcW w:w="217" w:type="pct"/>
            <w:tcBorders>
              <w:top w:val="single" w:sz="4" w:space="0" w:color="auto"/>
              <w:left w:val="single" w:sz="4" w:space="0" w:color="auto"/>
              <w:bottom w:val="single" w:sz="4" w:space="0" w:color="auto"/>
              <w:right w:val="single" w:sz="4" w:space="0" w:color="auto"/>
            </w:tcBorders>
            <w:shd w:val="clear" w:color="000000" w:fill="FFFFFF"/>
            <w:noWrap/>
          </w:tcPr>
          <w:p w14:paraId="36C5BEC2" w14:textId="214CC32F" w:rsidR="00BB601E" w:rsidRPr="000D52ED" w:rsidRDefault="0090085B" w:rsidP="00BB601E">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4</w:t>
            </w:r>
          </w:p>
          <w:p w14:paraId="1B5A428D" w14:textId="5B33D7DD" w:rsidR="00BB601E" w:rsidRPr="000D52ED" w:rsidRDefault="00BB601E" w:rsidP="00995497">
            <w:pPr>
              <w:rPr>
                <w:rFonts w:ascii="Calibri" w:hAnsi="Calibri" w:cs="Calibri"/>
                <w:noProof/>
                <w:color w:val="000000"/>
                <w:sz w:val="16"/>
                <w:szCs w:val="16"/>
                <w:lang w:val="es-ES_tradnl" w:eastAsia="es-CO"/>
              </w:rPr>
            </w:pPr>
          </w:p>
        </w:tc>
        <w:tc>
          <w:tcPr>
            <w:tcW w:w="453" w:type="pct"/>
            <w:tcBorders>
              <w:top w:val="single" w:sz="4" w:space="0" w:color="auto"/>
              <w:left w:val="single" w:sz="4" w:space="0" w:color="auto"/>
              <w:bottom w:val="single" w:sz="4" w:space="0" w:color="auto"/>
              <w:right w:val="single" w:sz="4" w:space="0" w:color="auto"/>
            </w:tcBorders>
            <w:shd w:val="clear" w:color="000000" w:fill="FFFFFF"/>
          </w:tcPr>
          <w:p w14:paraId="70B7D7E9" w14:textId="074853CB" w:rsidR="00BB601E" w:rsidRPr="000D52ED" w:rsidRDefault="00BB601E" w:rsidP="00995497">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Parte 2-Titulo 6- Capitulo 6-</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Artículo 2.2.6.6.2</w:t>
            </w:r>
          </w:p>
        </w:tc>
        <w:tc>
          <w:tcPr>
            <w:tcW w:w="1461" w:type="pct"/>
            <w:tcBorders>
              <w:top w:val="single" w:sz="4" w:space="0" w:color="auto"/>
              <w:left w:val="single" w:sz="4" w:space="0" w:color="auto"/>
              <w:bottom w:val="single" w:sz="4" w:space="0" w:color="auto"/>
              <w:right w:val="single" w:sz="4" w:space="0" w:color="auto"/>
            </w:tcBorders>
            <w:shd w:val="clear" w:color="000000" w:fill="FFFFFF"/>
          </w:tcPr>
          <w:p w14:paraId="57E30ACA" w14:textId="6DBAFCF7" w:rsidR="00BB601E" w:rsidRPr="000D52ED" w:rsidRDefault="00BB601E" w:rsidP="00995497">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Artículo 2.2.6.6.2. Conformación de los Centros Regionales de Atención y Reparación a Víctimas.</w:t>
            </w:r>
            <w:r w:rsidRPr="000D52ED">
              <w:rPr>
                <w:rFonts w:ascii="Calibri" w:hAnsi="Calibri" w:cs="Calibri"/>
                <w:noProof/>
                <w:color w:val="000000"/>
                <w:sz w:val="16"/>
                <w:szCs w:val="16"/>
                <w:lang w:val="es-ES_tradnl" w:eastAsia="es-CO"/>
              </w:rPr>
              <w:t xml:space="preserve"> En cumplimiento del principio de responsabilidad compartida y colaboración armónica, las entidades que deben participar en los Centros Regionales de Atención y Reparación a Víctimas, de acuerdo con su competencia sectorial y responsabilidad institucional en la atención a la población víctima en los términos del artículo 3 de la Ley 1448 de 2011, son:</w:t>
            </w:r>
            <w:r w:rsidRPr="000D52ED">
              <w:rPr>
                <w:rFonts w:ascii="Calibri" w:hAnsi="Calibri" w:cs="Calibri"/>
                <w:noProof/>
                <w:color w:val="000000"/>
                <w:sz w:val="16"/>
                <w:szCs w:val="16"/>
                <w:lang w:val="es-ES_tradnl" w:eastAsia="es-CO"/>
              </w:rPr>
              <w:br/>
              <w:t>1.Alcaldías y Gobernaciones: atención humanitaria, alojamiento, alimentación, asistencia funeraria y oferta local adicional.</w:t>
            </w:r>
            <w:r w:rsidRPr="000D52ED">
              <w:rPr>
                <w:rFonts w:ascii="Calibri" w:hAnsi="Calibri" w:cs="Calibri"/>
                <w:noProof/>
                <w:color w:val="000000"/>
                <w:sz w:val="16"/>
                <w:szCs w:val="16"/>
                <w:lang w:val="es-ES_tradnl" w:eastAsia="es-CO"/>
              </w:rPr>
              <w:br/>
              <w:t>2.Ministerio Público: toma de la declaración, atención, asistencia en procesos judiciales y orientación frente a procesos judiciales y administrativos.</w:t>
            </w:r>
            <w:r w:rsidRPr="000D52ED">
              <w:rPr>
                <w:rFonts w:ascii="Calibri" w:hAnsi="Calibri" w:cs="Calibri"/>
                <w:noProof/>
                <w:color w:val="000000"/>
                <w:sz w:val="16"/>
                <w:szCs w:val="16"/>
                <w:lang w:val="es-ES_tradnl" w:eastAsia="es-CO"/>
              </w:rPr>
              <w:br/>
              <w:t>3.Registraduría Nacional de Estado Civil: trámite y entrega de documentos de identificación y certificaciones.</w:t>
            </w:r>
            <w:r w:rsidRPr="000D52ED">
              <w:rPr>
                <w:rFonts w:ascii="Calibri" w:hAnsi="Calibri" w:cs="Calibri"/>
                <w:noProof/>
                <w:color w:val="000000"/>
                <w:sz w:val="16"/>
                <w:szCs w:val="16"/>
                <w:lang w:val="es-ES_tradnl" w:eastAsia="es-CO"/>
              </w:rPr>
              <w:br/>
              <w:t>4.Ministerio de Defensa Nacional: Libreta militar para varones mayores de 18 años y trámite para los menores de edad.</w:t>
            </w:r>
            <w:r w:rsidRPr="000D52ED">
              <w:rPr>
                <w:rFonts w:ascii="Calibri" w:hAnsi="Calibri" w:cs="Calibri"/>
                <w:noProof/>
                <w:color w:val="000000"/>
                <w:sz w:val="16"/>
                <w:szCs w:val="16"/>
                <w:lang w:val="es-ES_tradnl" w:eastAsia="es-CO"/>
              </w:rPr>
              <w:br/>
              <w:t>5.Secretarías departamentales, distritales y municipales de salud, y Ministerio de Salud y Protección Social: Afiliación al Sistema General de Seguridad Social en Salud, cobertura de la asistencia médica, quirúrgica y hospitalaria, y la atención de urgencia y emergencia en salud.</w:t>
            </w:r>
            <w:r w:rsidRPr="000D52ED">
              <w:rPr>
                <w:rFonts w:ascii="Calibri" w:hAnsi="Calibri" w:cs="Calibri"/>
                <w:noProof/>
                <w:color w:val="000000"/>
                <w:sz w:val="16"/>
                <w:szCs w:val="16"/>
                <w:lang w:val="es-ES_tradnl" w:eastAsia="es-CO"/>
              </w:rPr>
              <w:br/>
            </w:r>
            <w:r w:rsidR="008B2243" w:rsidRPr="000D52ED">
              <w:rPr>
                <w:rFonts w:ascii="Calibri" w:hAnsi="Calibri" w:cs="Calibri"/>
                <w:noProof/>
                <w:color w:val="000000"/>
                <w:sz w:val="16"/>
                <w:szCs w:val="16"/>
                <w:lang w:val="es-ES_tradnl" w:eastAsia="es-CO"/>
              </w:rPr>
              <w:t>6.Ministerio de Educación Nacional y secretarías de educación departamentales, distritales y municipales: acceso y gratuidad en educación preescolar, básica y media, y atención y orientación para</w:t>
            </w:r>
          </w:p>
        </w:tc>
        <w:tc>
          <w:tcPr>
            <w:tcW w:w="1400" w:type="pct"/>
            <w:tcBorders>
              <w:top w:val="single" w:sz="4" w:space="0" w:color="auto"/>
              <w:left w:val="single" w:sz="4" w:space="0" w:color="auto"/>
              <w:bottom w:val="single" w:sz="4" w:space="0" w:color="auto"/>
              <w:right w:val="single" w:sz="4" w:space="0" w:color="auto"/>
            </w:tcBorders>
            <w:shd w:val="clear" w:color="000000" w:fill="FFFFFF"/>
          </w:tcPr>
          <w:p w14:paraId="38A482E9" w14:textId="77777777" w:rsidR="00BB601E" w:rsidRPr="000D52ED" w:rsidRDefault="00DC750A" w:rsidP="00995497">
            <w:pPr>
              <w:rPr>
                <w:rFonts w:ascii="Calibri" w:hAnsi="Calibri" w:cs="Calibri"/>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Artículo 2.2.6.6.2. Conformación de los Centros Regionales de Atención y Reparación a Víctimas. </w:t>
            </w:r>
            <w:r w:rsidRPr="000D52ED">
              <w:rPr>
                <w:rFonts w:ascii="Calibri" w:hAnsi="Calibri" w:cs="Calibri"/>
                <w:noProof/>
                <w:color w:val="000000"/>
                <w:sz w:val="16"/>
                <w:szCs w:val="16"/>
                <w:lang w:val="es-ES_tradnl" w:eastAsia="es-CO"/>
              </w:rPr>
              <w:t>En cumplimiento del principio de responsabilidad compartida y colaboración armónica, las entidades que deben participar en los Centros Regionales de Atención y Reparación a Víctimas, de acuerdo con su competencia sectorial y responsabilidad institucional en la atención a la población víctima en los términos del artículo 3 de la Ley 1448 de 2011, son:</w:t>
            </w:r>
            <w:r w:rsidRPr="000D52ED">
              <w:rPr>
                <w:rFonts w:ascii="Calibri" w:hAnsi="Calibri" w:cs="Calibri"/>
                <w:noProof/>
                <w:color w:val="000000"/>
                <w:sz w:val="16"/>
                <w:szCs w:val="16"/>
                <w:lang w:val="es-ES_tradnl" w:eastAsia="es-CO"/>
              </w:rPr>
              <w:br/>
              <w:t>1. Alcaldías y Gobernaciones: atención humanitaria, alojamiento, alimentación, asistencia funeraria y oferta local adicional.</w:t>
            </w:r>
            <w:r w:rsidRPr="000D52ED">
              <w:rPr>
                <w:rFonts w:ascii="Calibri" w:hAnsi="Calibri" w:cs="Calibri"/>
                <w:noProof/>
                <w:color w:val="000000"/>
                <w:sz w:val="16"/>
                <w:szCs w:val="16"/>
                <w:lang w:val="es-ES_tradnl" w:eastAsia="es-CO"/>
              </w:rPr>
              <w:br/>
              <w:t>2. Ministerio Público: toma de la declaración, atención, asistencia en procesos judiciales y orientación frente a procesos judiciales y administrativos.</w:t>
            </w:r>
            <w:r w:rsidRPr="000D52ED">
              <w:rPr>
                <w:rFonts w:ascii="Calibri" w:hAnsi="Calibri" w:cs="Calibri"/>
                <w:noProof/>
                <w:color w:val="000000"/>
                <w:sz w:val="16"/>
                <w:szCs w:val="16"/>
                <w:lang w:val="es-ES_tradnl" w:eastAsia="es-CO"/>
              </w:rPr>
              <w:br/>
              <w:t>3. Registraduría Nacional de Estado Civil: trámite y entrega de documentos de identificación y certificaciones.</w:t>
            </w:r>
            <w:r w:rsidRPr="000D52ED">
              <w:rPr>
                <w:rFonts w:ascii="Calibri" w:hAnsi="Calibri" w:cs="Calibri"/>
                <w:noProof/>
                <w:color w:val="000000"/>
                <w:sz w:val="16"/>
                <w:szCs w:val="16"/>
                <w:lang w:val="es-ES_tradnl" w:eastAsia="es-CO"/>
              </w:rPr>
              <w:br/>
              <w:t>4. Ministerio de Defensa Nacional: Libreta militar para varones mayores de 18 años y trámite para los menores de edad.</w:t>
            </w:r>
            <w:r w:rsidRPr="000D52ED">
              <w:rPr>
                <w:rFonts w:ascii="Calibri" w:hAnsi="Calibri" w:cs="Calibri"/>
                <w:noProof/>
                <w:color w:val="000000"/>
                <w:sz w:val="16"/>
                <w:szCs w:val="16"/>
                <w:lang w:val="es-ES_tradnl" w:eastAsia="es-CO"/>
              </w:rPr>
              <w:br/>
              <w:t>5. Secretarías departamentales, distritales y municipales de salud, y Ministerio de Salud y Protección Social: Afiliación al Sistema General de Seguridad Social en Salud, cobertura de la asistencia médica, quirúrgica y hospitalaria, y la atención de urgencia y emergencia en salud.</w:t>
            </w:r>
          </w:p>
          <w:p w14:paraId="3C21DF0B" w14:textId="55F13F7E" w:rsidR="00DC750A" w:rsidRPr="000D52ED" w:rsidRDefault="00DC750A" w:rsidP="00995497">
            <w:pPr>
              <w:rPr>
                <w:rFonts w:ascii="Calibri" w:hAnsi="Calibri" w:cs="Calibri"/>
                <w:b/>
                <w:bCs/>
                <w:noProof/>
                <w:color w:val="000000"/>
                <w:sz w:val="16"/>
                <w:szCs w:val="16"/>
                <w:lang w:val="es-ES_tradnl" w:eastAsia="es-CO"/>
              </w:rPr>
            </w:pPr>
            <w:r w:rsidRPr="000D52ED">
              <w:rPr>
                <w:rFonts w:ascii="Calibri" w:hAnsi="Calibri" w:cs="Calibri"/>
                <w:noProof/>
                <w:color w:val="000000"/>
                <w:sz w:val="16"/>
                <w:szCs w:val="16"/>
                <w:lang w:val="es-ES_tradnl" w:eastAsia="es-CO"/>
              </w:rPr>
              <w:t>6. Ministerio de Educación Nacional y secretarías de educación departamentales, distritales y municipales: acceso y gratuidad en educación preescolar, básica y media, y atención y orientación para selección, admisión, matrícula y financiación en educación superior.</w:t>
            </w:r>
            <w:r w:rsidRPr="000D52ED">
              <w:rPr>
                <w:rFonts w:ascii="Calibri" w:hAnsi="Calibri" w:cs="Calibri"/>
                <w:noProof/>
                <w:color w:val="000000"/>
                <w:sz w:val="16"/>
                <w:szCs w:val="16"/>
                <w:lang w:val="es-ES_tradnl" w:eastAsia="es-CO"/>
              </w:rPr>
              <w:br/>
            </w:r>
          </w:p>
        </w:tc>
        <w:tc>
          <w:tcPr>
            <w:tcW w:w="1469" w:type="pct"/>
            <w:tcBorders>
              <w:top w:val="single" w:sz="4" w:space="0" w:color="auto"/>
              <w:left w:val="single" w:sz="4" w:space="0" w:color="auto"/>
              <w:bottom w:val="single" w:sz="4" w:space="0" w:color="auto"/>
              <w:right w:val="single" w:sz="4" w:space="0" w:color="auto"/>
            </w:tcBorders>
            <w:shd w:val="clear" w:color="000000" w:fill="FFFFFF"/>
          </w:tcPr>
          <w:p w14:paraId="657C932B" w14:textId="77777777" w:rsidR="007D4524" w:rsidRDefault="00DC750A" w:rsidP="00995497">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Estos apartados normativos que conferían competencias al ICBF acaeció el criterio de decaimiento, en la medida en que la norma que sustentaba la competencia en materia de alimentación fue modificada por el artículo 122 de la Ley 1753 de 2015. Esto, considerando el concepto del Consejo de Estado que indica “(…) El decaimiento de los actos administrativos es una figura en virtud de la cual se predica que estos, a pesar de no haber sido anulados por sentencia judicial, pierden su fuerza ejecutoria. Esa pérdida de fuerza ejecutoria es consecuencia de la desaparición de sus fundamentos de hecho o de derecho”.</w:t>
            </w:r>
          </w:p>
          <w:p w14:paraId="2722764B" w14:textId="77777777" w:rsidR="007D4524" w:rsidRDefault="007D4524" w:rsidP="00995497">
            <w:pPr>
              <w:rPr>
                <w:rFonts w:ascii="Calibri" w:hAnsi="Calibri" w:cs="Calibri"/>
                <w:noProof/>
                <w:color w:val="000000"/>
                <w:sz w:val="16"/>
                <w:szCs w:val="16"/>
                <w:lang w:val="es-ES_tradnl" w:eastAsia="es-CO"/>
              </w:rPr>
            </w:pPr>
          </w:p>
          <w:p w14:paraId="7A7685E7" w14:textId="0DD878D4" w:rsidR="00BB601E" w:rsidRPr="000D52ED" w:rsidRDefault="007D4524" w:rsidP="00995497">
            <w:pPr>
              <w:rPr>
                <w:rFonts w:ascii="Calibri" w:hAnsi="Calibri" w:cs="Calibri"/>
                <w:noProof/>
                <w:color w:val="000000"/>
                <w:sz w:val="16"/>
                <w:szCs w:val="16"/>
                <w:lang w:val="es-ES_tradnl" w:eastAsia="es-CO"/>
              </w:rPr>
            </w:pPr>
            <w:r w:rsidRPr="00B845F7">
              <w:rPr>
                <w:rFonts w:ascii="Calibri" w:hAnsi="Calibri" w:cs="Calibri"/>
                <w:noProof/>
                <w:color w:val="000000"/>
                <w:sz w:val="16"/>
                <w:szCs w:val="16"/>
                <w:lang w:val="es-ES_tradnl" w:eastAsia="es-CO"/>
              </w:rPr>
              <w:t>De igual modo en lo que refiere a los numerales 12 y 13, es necesario adecuar la enunciacion de las entidades que actualmente ejercen las funciones descritas, toda vez que las enunciadas en estos numerales han desaparecido del sistema juridico colombiano., con oca</w:t>
            </w:r>
            <w:r w:rsidR="00B845F7">
              <w:rPr>
                <w:rFonts w:ascii="Calibri" w:hAnsi="Calibri" w:cs="Calibri"/>
                <w:noProof/>
                <w:color w:val="000000"/>
                <w:sz w:val="16"/>
                <w:szCs w:val="16"/>
                <w:lang w:val="es-ES_tradnl" w:eastAsia="es-CO"/>
              </w:rPr>
              <w:t>s</w:t>
            </w:r>
            <w:r w:rsidRPr="00B845F7">
              <w:rPr>
                <w:rFonts w:ascii="Calibri" w:hAnsi="Calibri" w:cs="Calibri"/>
                <w:noProof/>
                <w:color w:val="000000"/>
                <w:sz w:val="16"/>
                <w:szCs w:val="16"/>
                <w:lang w:val="es-ES_tradnl" w:eastAsia="es-CO"/>
              </w:rPr>
              <w:t>i</w:t>
            </w:r>
            <w:r w:rsidR="00B845F7">
              <w:rPr>
                <w:rFonts w:ascii="Calibri" w:hAnsi="Calibri" w:cs="Calibri"/>
                <w:noProof/>
                <w:color w:val="000000"/>
                <w:sz w:val="16"/>
                <w:szCs w:val="16"/>
                <w:lang w:val="es-ES_tradnl" w:eastAsia="es-CO"/>
              </w:rPr>
              <w:t>ó</w:t>
            </w:r>
            <w:r w:rsidRPr="00B845F7">
              <w:rPr>
                <w:rFonts w:ascii="Calibri" w:hAnsi="Calibri" w:cs="Calibri"/>
                <w:noProof/>
                <w:color w:val="000000"/>
                <w:sz w:val="16"/>
                <w:szCs w:val="16"/>
                <w:lang w:val="es-ES_tradnl" w:eastAsia="es-CO"/>
              </w:rPr>
              <w:t xml:space="preserve">n de </w:t>
            </w:r>
            <w:r w:rsidR="00F316B1" w:rsidRPr="00B845F7">
              <w:rPr>
                <w:rFonts w:ascii="Calibri" w:hAnsi="Calibri" w:cs="Calibri"/>
                <w:noProof/>
                <w:color w:val="000000"/>
                <w:sz w:val="16"/>
                <w:szCs w:val="16"/>
                <w:lang w:val="es-ES_tradnl" w:eastAsia="es-CO"/>
              </w:rPr>
              <w:t>la expedicion del Decreto 2094 de 2016.</w:t>
            </w:r>
            <w:r w:rsidR="00F316B1">
              <w:rPr>
                <w:rFonts w:ascii="Calibri" w:hAnsi="Calibri" w:cs="Calibri"/>
                <w:noProof/>
                <w:color w:val="000000"/>
                <w:sz w:val="16"/>
                <w:szCs w:val="16"/>
                <w:lang w:val="es-ES_tradnl" w:eastAsia="es-CO"/>
              </w:rPr>
              <w:t xml:space="preserve">  </w:t>
            </w:r>
            <w:r w:rsidR="00DC750A" w:rsidRPr="000D52ED">
              <w:rPr>
                <w:rFonts w:ascii="Calibri" w:hAnsi="Calibri" w:cs="Calibri"/>
                <w:noProof/>
                <w:color w:val="000000"/>
                <w:sz w:val="16"/>
                <w:szCs w:val="16"/>
                <w:lang w:val="es-ES_tradnl" w:eastAsia="es-CO"/>
              </w:rPr>
              <w:br/>
            </w:r>
            <w:r w:rsidR="00DC750A" w:rsidRPr="000D52ED">
              <w:rPr>
                <w:rFonts w:ascii="Calibri" w:hAnsi="Calibri" w:cs="Calibri"/>
                <w:noProof/>
                <w:color w:val="000000"/>
                <w:sz w:val="16"/>
                <w:szCs w:val="16"/>
                <w:lang w:val="es-ES_tradnl" w:eastAsia="es-CO"/>
              </w:rPr>
              <w:br/>
            </w:r>
          </w:p>
        </w:tc>
      </w:tr>
      <w:tr w:rsidR="008B2243" w:rsidRPr="00CA558D" w14:paraId="1D20DF7F" w14:textId="77777777" w:rsidTr="00641218">
        <w:trPr>
          <w:trHeight w:val="432"/>
          <w:tblHeader/>
        </w:trPr>
        <w:tc>
          <w:tcPr>
            <w:tcW w:w="217" w:type="pct"/>
            <w:tcBorders>
              <w:top w:val="single" w:sz="4" w:space="0" w:color="auto"/>
              <w:left w:val="single" w:sz="4" w:space="0" w:color="auto"/>
              <w:bottom w:val="single" w:sz="4" w:space="0" w:color="auto"/>
              <w:right w:val="single" w:sz="4" w:space="0" w:color="auto"/>
            </w:tcBorders>
            <w:shd w:val="clear" w:color="000000" w:fill="FFFFFF"/>
            <w:noWrap/>
          </w:tcPr>
          <w:p w14:paraId="7CBA9224" w14:textId="6D2A2B62" w:rsidR="00DC750A" w:rsidRPr="000D52ED" w:rsidRDefault="00DC750A" w:rsidP="0090085B">
            <w:pPr>
              <w:rPr>
                <w:rFonts w:ascii="Calibri" w:hAnsi="Calibri" w:cs="Calibri"/>
                <w:noProof/>
                <w:color w:val="000000"/>
                <w:sz w:val="16"/>
                <w:szCs w:val="16"/>
                <w:lang w:val="es-ES_tradnl" w:eastAsia="es-CO"/>
              </w:rPr>
            </w:pPr>
          </w:p>
        </w:tc>
        <w:tc>
          <w:tcPr>
            <w:tcW w:w="453" w:type="pct"/>
            <w:tcBorders>
              <w:top w:val="single" w:sz="4" w:space="0" w:color="auto"/>
              <w:left w:val="single" w:sz="4" w:space="0" w:color="auto"/>
              <w:bottom w:val="single" w:sz="4" w:space="0" w:color="auto"/>
              <w:right w:val="single" w:sz="4" w:space="0" w:color="auto"/>
            </w:tcBorders>
            <w:shd w:val="clear" w:color="000000" w:fill="FFFFFF"/>
          </w:tcPr>
          <w:p w14:paraId="1C856E75" w14:textId="77777777" w:rsidR="00DC750A" w:rsidRPr="000D52ED" w:rsidRDefault="00DC750A" w:rsidP="00995497">
            <w:pPr>
              <w:rPr>
                <w:rFonts w:ascii="Calibri" w:hAnsi="Calibri" w:cs="Calibri"/>
                <w:noProof/>
                <w:color w:val="000000"/>
                <w:sz w:val="16"/>
                <w:szCs w:val="16"/>
                <w:lang w:val="es-ES_tradnl" w:eastAsia="es-CO"/>
              </w:rPr>
            </w:pPr>
          </w:p>
        </w:tc>
        <w:tc>
          <w:tcPr>
            <w:tcW w:w="1461" w:type="pct"/>
            <w:tcBorders>
              <w:top w:val="single" w:sz="4" w:space="0" w:color="auto"/>
              <w:left w:val="single" w:sz="4" w:space="0" w:color="auto"/>
              <w:bottom w:val="single" w:sz="4" w:space="0" w:color="auto"/>
              <w:right w:val="single" w:sz="4" w:space="0" w:color="auto"/>
            </w:tcBorders>
            <w:shd w:val="clear" w:color="000000" w:fill="FFFFFF"/>
          </w:tcPr>
          <w:p w14:paraId="0534D06A" w14:textId="7CDE0D8E" w:rsidR="00DC750A" w:rsidRPr="000D52ED" w:rsidRDefault="00DC750A" w:rsidP="00995497">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selección, admisión, matrícula y financiación en educación superior.</w:t>
            </w:r>
            <w:r w:rsidRPr="000D52ED">
              <w:rPr>
                <w:rFonts w:ascii="Calibri" w:hAnsi="Calibri" w:cs="Calibri"/>
                <w:noProof/>
                <w:color w:val="000000"/>
                <w:sz w:val="16"/>
                <w:szCs w:val="16"/>
                <w:lang w:val="es-ES_tradnl" w:eastAsia="es-CO"/>
              </w:rPr>
              <w:br/>
              <w:t>7.Ministerio del Trabajo: Atención y orientación para el programa de empleo urbano y rural.</w:t>
            </w:r>
            <w:r w:rsidRPr="000D52ED">
              <w:rPr>
                <w:rFonts w:ascii="Calibri" w:hAnsi="Calibri" w:cs="Calibri"/>
                <w:noProof/>
                <w:color w:val="000000"/>
                <w:sz w:val="16"/>
                <w:szCs w:val="16"/>
                <w:lang w:val="es-ES_tradnl" w:eastAsia="es-CO"/>
              </w:rPr>
              <w:br/>
              <w:t>8.Ministerio de Salud y Protección Social: Orientación para el programa de atención psicosocial y salud integral a víctimas.</w:t>
            </w:r>
            <w:r w:rsidRPr="000D52ED">
              <w:rPr>
                <w:rFonts w:ascii="Calibri" w:hAnsi="Calibri" w:cs="Calibri"/>
                <w:noProof/>
                <w:color w:val="000000"/>
                <w:sz w:val="16"/>
                <w:szCs w:val="16"/>
                <w:lang w:val="es-ES_tradnl" w:eastAsia="es-CO"/>
              </w:rPr>
              <w:br/>
              <w:t>9.Instituto Colombiano de Bienestar Familiar: Protección integral a los niños, niñas y adolescentes y alimentación para estos y para el grupo familiar en la etapa de atención humanitaria de transición.</w:t>
            </w:r>
            <w:r w:rsidRPr="000D52ED">
              <w:rPr>
                <w:rFonts w:ascii="Calibri" w:hAnsi="Calibri" w:cs="Calibri"/>
                <w:noProof/>
                <w:color w:val="000000"/>
                <w:sz w:val="16"/>
                <w:szCs w:val="16"/>
                <w:lang w:val="es-ES_tradnl" w:eastAsia="es-CO"/>
              </w:rPr>
              <w:br/>
              <w:t>10.Servicio Nacional de Aprendizaje: Orientación ocupacional y formación técnica.</w:t>
            </w:r>
            <w:r w:rsidRPr="000D52ED">
              <w:rPr>
                <w:rFonts w:ascii="Calibri" w:hAnsi="Calibri" w:cs="Calibri"/>
                <w:noProof/>
                <w:color w:val="000000"/>
                <w:sz w:val="16"/>
                <w:szCs w:val="16"/>
                <w:lang w:val="es-ES_tradnl" w:eastAsia="es-CO"/>
              </w:rPr>
              <w:br/>
              <w:t>11.Fiscalía General de la Nación: Acceso a la justicia, judicialización de casos, despacho fiscal y estado de procesos.</w:t>
            </w:r>
            <w:r w:rsidRPr="000D52ED">
              <w:rPr>
                <w:rFonts w:ascii="Calibri" w:hAnsi="Calibri" w:cs="Calibri"/>
                <w:noProof/>
                <w:color w:val="000000"/>
                <w:sz w:val="16"/>
                <w:szCs w:val="16"/>
                <w:lang w:val="es-ES_tradnl" w:eastAsia="es-CO"/>
              </w:rPr>
              <w:br/>
              <w:t>12.Unidad Administrativa Especial para la Atención y Reparación Integral a las Víctimas: Atención, y orientación en los procesos de registro único de víctimas, ayuda humanitaria y reparación.</w:t>
            </w:r>
            <w:r w:rsidRPr="000D52ED">
              <w:rPr>
                <w:rFonts w:ascii="Calibri" w:hAnsi="Calibri" w:cs="Calibri"/>
                <w:noProof/>
                <w:color w:val="000000"/>
                <w:sz w:val="16"/>
                <w:szCs w:val="16"/>
                <w:lang w:val="es-ES_tradnl" w:eastAsia="es-CO"/>
              </w:rPr>
              <w:br/>
              <w:t>13.Unidad Administrativa Especial para la Consolidación Territorial: Atención y orientación para el desarrollo de programas de consolidación en zonas específicas.</w:t>
            </w:r>
            <w:r w:rsidRPr="000D52ED">
              <w:rPr>
                <w:rFonts w:ascii="Calibri" w:hAnsi="Calibri" w:cs="Calibri"/>
                <w:noProof/>
                <w:color w:val="000000"/>
                <w:sz w:val="16"/>
                <w:szCs w:val="16"/>
                <w:lang w:val="es-ES_tradnl" w:eastAsia="es-CO"/>
              </w:rPr>
              <w:br/>
              <w:t>14.Agencia Nacional para la Superación de la Pobreza Extrema: Atención y orientación para el acceso a los programas y subsidios para la superación de la pobreza.</w:t>
            </w:r>
            <w:r w:rsidRPr="000D52ED">
              <w:rPr>
                <w:rFonts w:ascii="Calibri" w:hAnsi="Calibri" w:cs="Calibri"/>
                <w:noProof/>
                <w:color w:val="000000"/>
                <w:sz w:val="16"/>
                <w:szCs w:val="16"/>
                <w:lang w:val="es-ES_tradnl" w:eastAsia="es-CO"/>
              </w:rPr>
              <w:br/>
              <w:t>15.Ministerio de Agricultura y Desarrollo Rural y entidades adscritas: Atención y orientación para la restitución de tierras, y vivienda rural.</w:t>
            </w:r>
            <w:r w:rsidRPr="000D52ED">
              <w:rPr>
                <w:rFonts w:ascii="Calibri" w:hAnsi="Calibri" w:cs="Calibri"/>
                <w:noProof/>
                <w:color w:val="000000"/>
                <w:sz w:val="16"/>
                <w:szCs w:val="16"/>
                <w:lang w:val="es-ES_tradnl" w:eastAsia="es-CO"/>
              </w:rPr>
              <w:br/>
              <w:t>16.Ministerio de Vivienda, Ciudad y Territorio: Atención y orientación para la restitución de vivienda urbana.</w:t>
            </w:r>
            <w:r w:rsidRPr="000D52ED">
              <w:rPr>
                <w:rFonts w:ascii="Calibri" w:hAnsi="Calibri" w:cs="Calibri"/>
                <w:noProof/>
                <w:color w:val="000000"/>
                <w:sz w:val="16"/>
                <w:szCs w:val="16"/>
                <w:lang w:val="es-ES_tradnl" w:eastAsia="es-CO"/>
              </w:rPr>
              <w:br/>
              <w:t>17.Superintendencia de Notariado y Registro: Atención y orientación en materia de registro de bienes inmuebles, certificados de libertad y tradición.</w:t>
            </w:r>
            <w:r w:rsidRPr="000D52ED">
              <w:rPr>
                <w:rFonts w:ascii="Calibri" w:hAnsi="Calibri" w:cs="Calibri"/>
                <w:noProof/>
                <w:color w:val="000000"/>
                <w:sz w:val="16"/>
                <w:szCs w:val="16"/>
                <w:lang w:val="es-ES_tradnl" w:eastAsia="es-CO"/>
              </w:rPr>
              <w:br/>
            </w:r>
            <w:r w:rsidRPr="000D52ED">
              <w:rPr>
                <w:rFonts w:ascii="Calibri" w:hAnsi="Calibri" w:cs="Calibri"/>
                <w:noProof/>
                <w:color w:val="000000"/>
                <w:sz w:val="16"/>
                <w:szCs w:val="16"/>
                <w:lang w:val="es-ES_tradnl" w:eastAsia="es-CO"/>
              </w:rPr>
              <w:br/>
              <w:t>Parágrafo 1. Las entidades que participen en los Centros deben coordinar con sus pares institucionales en el territorio la asignación del recurso humano y técnico para garantizar la atención y orientación, y aquellas que no cuenten con presencia en el territorio deben garantizar un enlace permanente con la Unidad Administrativa Especial para la Atención y Reparación Integral a las Víctimas.</w:t>
            </w:r>
            <w:r w:rsidRPr="000D52ED">
              <w:rPr>
                <w:rFonts w:ascii="Calibri" w:hAnsi="Calibri" w:cs="Calibri"/>
                <w:noProof/>
                <w:color w:val="000000"/>
                <w:sz w:val="16"/>
                <w:szCs w:val="16"/>
                <w:lang w:val="es-ES_tradnl" w:eastAsia="es-CO"/>
              </w:rPr>
              <w:br/>
            </w:r>
            <w:r w:rsidRPr="000D52ED">
              <w:rPr>
                <w:rFonts w:ascii="Calibri" w:hAnsi="Calibri" w:cs="Calibri"/>
                <w:noProof/>
                <w:color w:val="000000"/>
                <w:sz w:val="16"/>
                <w:szCs w:val="16"/>
                <w:lang w:val="es-ES_tradnl" w:eastAsia="es-CO"/>
              </w:rPr>
              <w:br/>
              <w:t xml:space="preserve">Parágrafo 2. Las entidades que participen en el Centro deben reportar a la Unidad Administrativa Especial para la Atención y Reparación Integral a las Víctimas, la oferta institucional de asistencia, atención y reparación para las víctimas, especificando funcionarios responsables, horarios de atención, cobertura, cupos disponibles, novedades y demás información relevante que </w:t>
            </w:r>
            <w:r w:rsidRPr="000D52ED">
              <w:rPr>
                <w:rFonts w:ascii="Calibri" w:hAnsi="Calibri" w:cs="Calibri"/>
                <w:noProof/>
                <w:color w:val="000000"/>
                <w:sz w:val="16"/>
                <w:szCs w:val="16"/>
                <w:lang w:val="es-ES_tradnl" w:eastAsia="es-CO"/>
              </w:rPr>
              <w:lastRenderedPageBreak/>
              <w:t>permita brindar una adecuada orientación.</w:t>
            </w:r>
          </w:p>
          <w:p w14:paraId="45EB5040" w14:textId="60CF2113" w:rsidR="00DC750A" w:rsidRPr="000D52ED" w:rsidRDefault="00DC750A" w:rsidP="00995497">
            <w:pPr>
              <w:rPr>
                <w:rFonts w:ascii="Calibri" w:hAnsi="Calibri" w:cs="Calibri"/>
                <w:b/>
                <w:bCs/>
                <w:noProof/>
                <w:color w:val="000000"/>
                <w:sz w:val="16"/>
                <w:szCs w:val="16"/>
                <w:lang w:val="es-ES_tradnl" w:eastAsia="es-CO"/>
              </w:rPr>
            </w:pPr>
            <w:r w:rsidRPr="000D52ED">
              <w:rPr>
                <w:rFonts w:ascii="Calibri" w:hAnsi="Calibri" w:cs="Calibri"/>
                <w:noProof/>
                <w:color w:val="000000"/>
                <w:sz w:val="16"/>
                <w:szCs w:val="16"/>
                <w:lang w:val="es-ES_tradnl" w:eastAsia="es-CO"/>
              </w:rPr>
              <w:br/>
              <w:t>Parágrafo 3. Las demás entidades públicas, organizaciones públicas y privadas que participan en las diferentes acciones de asistencia, atención y reparación a las víctimas pueden hacer presencia en los Centros en coordinación con la Unidad Administrativa Especial de Atención y Reparación Integral a las Víctimas. Para tal fin se tendrán en cuenta los modelos de atención ya existentes y las condiciones específicas del contexto regional o local.</w:t>
            </w:r>
            <w:r w:rsidRPr="000D52ED">
              <w:rPr>
                <w:rFonts w:ascii="Calibri" w:hAnsi="Calibri" w:cs="Calibri"/>
                <w:noProof/>
                <w:color w:val="000000"/>
                <w:sz w:val="16"/>
                <w:szCs w:val="16"/>
                <w:lang w:val="es-ES_tradnl" w:eastAsia="es-CO"/>
              </w:rPr>
              <w:br/>
            </w:r>
            <w:r w:rsidRPr="000D52ED">
              <w:rPr>
                <w:rFonts w:ascii="Calibri" w:hAnsi="Calibri" w:cs="Calibri"/>
                <w:noProof/>
                <w:color w:val="000000"/>
                <w:sz w:val="16"/>
                <w:szCs w:val="16"/>
                <w:lang w:val="es-ES_tradnl" w:eastAsia="es-CO"/>
              </w:rPr>
              <w:br/>
              <w:t>Parágrafo 4. Los niños, niñas y adolescentes víctimas serán remitidos al Centro Zonal del Instituto Colombiano de Bienestar Familiar o la autoridad competente en el marco de la Ley de Infancia y Adolescencia, del área de influencia del Centro Regional de Atención a Víctimas, de acuerdo con las rutas y protocolos de remisión específicos establecidos por el Instituto Colombiano de Bienestar Familiar para el efecto.</w:t>
            </w:r>
          </w:p>
        </w:tc>
        <w:tc>
          <w:tcPr>
            <w:tcW w:w="1400" w:type="pct"/>
            <w:tcBorders>
              <w:top w:val="single" w:sz="4" w:space="0" w:color="auto"/>
              <w:left w:val="single" w:sz="4" w:space="0" w:color="auto"/>
              <w:bottom w:val="single" w:sz="4" w:space="0" w:color="auto"/>
              <w:right w:val="single" w:sz="4" w:space="0" w:color="auto"/>
            </w:tcBorders>
            <w:shd w:val="clear" w:color="000000" w:fill="FFFFFF"/>
          </w:tcPr>
          <w:p w14:paraId="6A98ED6E" w14:textId="1C7CD83A" w:rsidR="00DC750A" w:rsidRPr="000D52ED" w:rsidRDefault="00DC750A" w:rsidP="00995497">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lastRenderedPageBreak/>
              <w:t>7. Ministerio del Trabajo: Atención y orientación para el programa de empleo urbano y rural.</w:t>
            </w:r>
            <w:r w:rsidRPr="000D52ED">
              <w:rPr>
                <w:rFonts w:ascii="Calibri" w:hAnsi="Calibri" w:cs="Calibri"/>
                <w:noProof/>
                <w:color w:val="000000"/>
                <w:sz w:val="16"/>
                <w:szCs w:val="16"/>
                <w:lang w:val="es-ES_tradnl" w:eastAsia="es-CO"/>
              </w:rPr>
              <w:br/>
              <w:t>8. Ministerio de Salud y Protección Social: Orientación para el programa de atención psicosocial y salud integral a víctimas.</w:t>
            </w:r>
            <w:r w:rsidRPr="000D52ED">
              <w:rPr>
                <w:rFonts w:ascii="Calibri" w:hAnsi="Calibri" w:cs="Calibri"/>
                <w:noProof/>
                <w:color w:val="000000"/>
                <w:sz w:val="16"/>
                <w:szCs w:val="16"/>
                <w:lang w:val="es-ES_tradnl" w:eastAsia="es-CO"/>
              </w:rPr>
              <w:br/>
              <w:t>9.Servicio Nacional de Aprendizaje: Orientación ocupacional y formación técnica.</w:t>
            </w:r>
            <w:r w:rsidRPr="000D52ED">
              <w:rPr>
                <w:rFonts w:ascii="Calibri" w:hAnsi="Calibri" w:cs="Calibri"/>
                <w:noProof/>
                <w:color w:val="000000"/>
                <w:sz w:val="16"/>
                <w:szCs w:val="16"/>
                <w:lang w:val="es-ES_tradnl" w:eastAsia="es-CO"/>
              </w:rPr>
              <w:br/>
              <w:t>10.Fiscalía General de la Nación: Acceso a la justicia, judicialización de casos, despacho fiscal y estado de procesos.</w:t>
            </w:r>
            <w:r w:rsidRPr="000D52ED">
              <w:rPr>
                <w:rFonts w:ascii="Calibri" w:hAnsi="Calibri" w:cs="Calibri"/>
                <w:noProof/>
                <w:color w:val="000000"/>
                <w:sz w:val="16"/>
                <w:szCs w:val="16"/>
                <w:lang w:val="es-ES_tradnl" w:eastAsia="es-CO"/>
              </w:rPr>
              <w:br/>
              <w:t>11.Unidad Administrativa Especial para la Atención y Reparación Integral a las Víctimas: Atención, y orientación en los procesos de registro único de víctimas, ayuda humanitaria y reparación.</w:t>
            </w:r>
            <w:r w:rsidRPr="000D52ED">
              <w:rPr>
                <w:rFonts w:ascii="Calibri" w:hAnsi="Calibri" w:cs="Calibri"/>
                <w:noProof/>
                <w:color w:val="000000"/>
                <w:sz w:val="16"/>
                <w:szCs w:val="16"/>
                <w:lang w:val="es-ES_tradnl" w:eastAsia="es-CO"/>
              </w:rPr>
              <w:br/>
            </w:r>
            <w:r w:rsidRPr="00B845F7">
              <w:rPr>
                <w:rFonts w:ascii="Calibri" w:hAnsi="Calibri" w:cs="Calibri"/>
                <w:noProof/>
                <w:color w:val="000000"/>
                <w:sz w:val="16"/>
                <w:szCs w:val="16"/>
                <w:lang w:val="es-ES_tradnl" w:eastAsia="es-CO"/>
              </w:rPr>
              <w:t>12.</w:t>
            </w:r>
            <w:r w:rsidR="009A2D7C">
              <w:rPr>
                <w:rFonts w:ascii="Calibri" w:hAnsi="Calibri" w:cs="Calibri"/>
                <w:noProof/>
                <w:color w:val="000000"/>
                <w:sz w:val="16"/>
                <w:szCs w:val="16"/>
                <w:lang w:val="es-ES_tradnl" w:eastAsia="es-CO"/>
              </w:rPr>
              <w:t>Agencia de Renovación del Territorio</w:t>
            </w:r>
            <w:r w:rsidRPr="00B845F7">
              <w:rPr>
                <w:rFonts w:ascii="Calibri" w:hAnsi="Calibri" w:cs="Calibri"/>
                <w:noProof/>
                <w:color w:val="000000"/>
                <w:sz w:val="16"/>
                <w:szCs w:val="16"/>
                <w:lang w:val="es-ES_tradnl" w:eastAsia="es-CO"/>
              </w:rPr>
              <w:t>: Atención y orientación para el desarrollo de programas de consolidación en zonas específicas.</w:t>
            </w:r>
            <w:r w:rsidRPr="00B845F7">
              <w:rPr>
                <w:rFonts w:ascii="Calibri" w:hAnsi="Calibri" w:cs="Calibri"/>
                <w:noProof/>
                <w:color w:val="000000"/>
                <w:sz w:val="16"/>
                <w:szCs w:val="16"/>
                <w:lang w:val="es-ES_tradnl" w:eastAsia="es-CO"/>
              </w:rPr>
              <w:br/>
              <w:t>13.</w:t>
            </w:r>
            <w:r w:rsidR="005F5111" w:rsidRPr="00B845F7">
              <w:rPr>
                <w:rFonts w:ascii="Calibri" w:hAnsi="Calibri" w:cs="Calibri"/>
                <w:noProof/>
                <w:color w:val="000000"/>
                <w:sz w:val="16"/>
                <w:szCs w:val="16"/>
                <w:lang w:val="es-ES_tradnl" w:eastAsia="es-CO"/>
              </w:rPr>
              <w:t>Departamento Administrativo para la Prosperidad Social</w:t>
            </w:r>
            <w:r w:rsidRPr="00B845F7">
              <w:rPr>
                <w:rFonts w:ascii="Calibri" w:hAnsi="Calibri" w:cs="Calibri"/>
                <w:noProof/>
                <w:color w:val="000000"/>
                <w:sz w:val="16"/>
                <w:szCs w:val="16"/>
                <w:lang w:val="es-ES_tradnl" w:eastAsia="es-CO"/>
              </w:rPr>
              <w:t>: Atención y orientación para el acceso a los programas y subsidios para la superación de la pobreza.</w:t>
            </w:r>
            <w:r w:rsidRPr="000D52ED">
              <w:rPr>
                <w:rFonts w:ascii="Calibri" w:hAnsi="Calibri" w:cs="Calibri"/>
                <w:noProof/>
                <w:color w:val="000000"/>
                <w:sz w:val="16"/>
                <w:szCs w:val="16"/>
                <w:lang w:val="es-ES_tradnl" w:eastAsia="es-CO"/>
              </w:rPr>
              <w:br/>
              <w:t>14. Ministerio de Agricultura y Desarrollo Rural y entidades adscritas: Atención y orientación para la restitución de tierras, y vivienda rural.</w:t>
            </w:r>
            <w:r w:rsidRPr="000D52ED">
              <w:rPr>
                <w:rFonts w:ascii="Calibri" w:hAnsi="Calibri" w:cs="Calibri"/>
                <w:noProof/>
                <w:color w:val="000000"/>
                <w:sz w:val="16"/>
                <w:szCs w:val="16"/>
                <w:lang w:val="es-ES_tradnl" w:eastAsia="es-CO"/>
              </w:rPr>
              <w:br/>
              <w:t>15. Ministerio de Vivienda, Ciudad y Territorio: Atención y orientación para la restitución de vivienda urbana.</w:t>
            </w:r>
            <w:r w:rsidRPr="000D52ED">
              <w:rPr>
                <w:rFonts w:ascii="Calibri" w:hAnsi="Calibri" w:cs="Calibri"/>
                <w:noProof/>
                <w:color w:val="000000"/>
                <w:sz w:val="16"/>
                <w:szCs w:val="16"/>
                <w:lang w:val="es-ES_tradnl" w:eastAsia="es-CO"/>
              </w:rPr>
              <w:br/>
              <w:t>16. Superintendencia de Notariado y Registro: Atención y orientación en materia de registro de bienes inmuebles, certificados de libertad y tradición.</w:t>
            </w:r>
          </w:p>
          <w:p w14:paraId="1B77265C" w14:textId="428B0704" w:rsidR="00DC750A" w:rsidRPr="000D52ED" w:rsidRDefault="00DC750A" w:rsidP="00995497">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br/>
              <w:t>Parágrafo 1. Las entidades que participen en los Centros deben coordinar con sus pares institucionales en el territorio la asignación del recurso humano y técnico para garantizar la atención y orientación, y aquellas que no cuenten con presencia en el territorio deben garantizar un enlace permanente con la Unidad Administrativa Especial para la Atención y Reparación Integral a las Víctimas.</w:t>
            </w:r>
          </w:p>
          <w:p w14:paraId="40C3835D" w14:textId="77777777" w:rsidR="00DC750A" w:rsidRPr="000D52ED" w:rsidRDefault="00DC750A" w:rsidP="00995497">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br/>
              <w:t>Parágrafo 2. Las entidades que participen en el Centro deben reportar a la Unidad Administrativa Especial para la Atención y Reparación Integral a las Víctimas, la oferta institucional de asistencia, atención y reparación para las víctimas, especificando funcionarios responsables, horarios de atención, cobertura, cupos disponibles, novedades y demás información relevante que permita brindar una adecuada orientación.</w:t>
            </w:r>
          </w:p>
          <w:p w14:paraId="590ECCE7" w14:textId="77777777" w:rsidR="00DC750A" w:rsidRPr="000D52ED" w:rsidRDefault="00DC750A" w:rsidP="00995497">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br/>
              <w:t xml:space="preserve">Parágrafo 3. Las demás entidades </w:t>
            </w:r>
            <w:r w:rsidRPr="000D52ED">
              <w:rPr>
                <w:rFonts w:ascii="Calibri" w:hAnsi="Calibri" w:cs="Calibri"/>
                <w:noProof/>
                <w:color w:val="000000"/>
                <w:sz w:val="16"/>
                <w:szCs w:val="16"/>
                <w:lang w:val="es-ES_tradnl" w:eastAsia="es-CO"/>
              </w:rPr>
              <w:lastRenderedPageBreak/>
              <w:t>públicas, organizaciones públicas y privadas que participan en las diferentes acciones de asistencia, atención y reparación a las víctimas pueden hacer presencia en los Centros en coordinación con la Unidad Administrativa Especial de Atención y Reparación Integral a las Víctimas. Para tal fin se tendrán en cuenta los modelos de atención ya existentes y las condiciones específicas del contexto regional o local.</w:t>
            </w:r>
          </w:p>
          <w:p w14:paraId="6F72879B" w14:textId="27934D72" w:rsidR="00DC750A" w:rsidRPr="000D52ED" w:rsidRDefault="00DC750A" w:rsidP="00995497">
            <w:pPr>
              <w:rPr>
                <w:rFonts w:ascii="Calibri" w:hAnsi="Calibri" w:cs="Calibri"/>
                <w:b/>
                <w:bCs/>
                <w:noProof/>
                <w:color w:val="000000"/>
                <w:sz w:val="16"/>
                <w:szCs w:val="16"/>
                <w:lang w:val="es-ES_tradnl" w:eastAsia="es-CO"/>
              </w:rPr>
            </w:pPr>
            <w:r w:rsidRPr="000D52ED">
              <w:rPr>
                <w:rFonts w:ascii="Calibri" w:hAnsi="Calibri" w:cs="Calibri"/>
                <w:noProof/>
                <w:color w:val="000000"/>
                <w:sz w:val="16"/>
                <w:szCs w:val="16"/>
                <w:lang w:val="es-ES_tradnl" w:eastAsia="es-CO"/>
              </w:rPr>
              <w:br/>
              <w:t>Parágrafo 4. Los niños, niñas y adolescentes víctimas serán remitidos al Centro Zonal del Instituto Colombiano de Bienestar Familiar o la autoridad competente en el marco de la Ley de Infancia y Adolescencia, del área de influencia del Centro Regional de Atención a Víctimas, de acuerdo con las rutas y protocolos de remisión específicos establecidos por el Instituto Colombiano de Bienestar Familiar para el efecto.</w:t>
            </w:r>
          </w:p>
        </w:tc>
        <w:tc>
          <w:tcPr>
            <w:tcW w:w="1469" w:type="pct"/>
            <w:tcBorders>
              <w:top w:val="single" w:sz="4" w:space="0" w:color="auto"/>
              <w:left w:val="single" w:sz="4" w:space="0" w:color="auto"/>
              <w:bottom w:val="single" w:sz="4" w:space="0" w:color="auto"/>
              <w:right w:val="single" w:sz="4" w:space="0" w:color="auto"/>
            </w:tcBorders>
            <w:shd w:val="clear" w:color="000000" w:fill="FFFFFF"/>
          </w:tcPr>
          <w:p w14:paraId="17C935C7" w14:textId="77777777" w:rsidR="00DC750A" w:rsidRPr="000D52ED" w:rsidRDefault="00DC750A" w:rsidP="00995497">
            <w:pPr>
              <w:rPr>
                <w:rFonts w:ascii="Calibri" w:hAnsi="Calibri" w:cs="Calibri"/>
                <w:noProof/>
                <w:color w:val="000000"/>
                <w:sz w:val="16"/>
                <w:szCs w:val="16"/>
                <w:lang w:val="es-ES_tradnl" w:eastAsia="es-CO"/>
              </w:rPr>
            </w:pPr>
          </w:p>
        </w:tc>
      </w:tr>
      <w:tr w:rsidR="008B2243" w:rsidRPr="00CA558D" w14:paraId="001AC775" w14:textId="77777777" w:rsidTr="00641218">
        <w:trPr>
          <w:trHeight w:val="432"/>
          <w:tblHeader/>
        </w:trPr>
        <w:tc>
          <w:tcPr>
            <w:tcW w:w="217" w:type="pct"/>
            <w:tcBorders>
              <w:top w:val="single" w:sz="4" w:space="0" w:color="auto"/>
              <w:left w:val="single" w:sz="4" w:space="0" w:color="auto"/>
              <w:bottom w:val="single" w:sz="4" w:space="0" w:color="auto"/>
              <w:right w:val="single" w:sz="4" w:space="0" w:color="auto"/>
            </w:tcBorders>
            <w:shd w:val="clear" w:color="000000" w:fill="FFFFFF"/>
            <w:noWrap/>
          </w:tcPr>
          <w:p w14:paraId="74314DF4" w14:textId="561D1EDF" w:rsidR="00DC750A" w:rsidRPr="000D52ED" w:rsidRDefault="008B2243" w:rsidP="00BB601E">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5</w:t>
            </w:r>
          </w:p>
        </w:tc>
        <w:tc>
          <w:tcPr>
            <w:tcW w:w="453" w:type="pct"/>
            <w:tcBorders>
              <w:top w:val="single" w:sz="4" w:space="0" w:color="auto"/>
              <w:left w:val="single" w:sz="4" w:space="0" w:color="auto"/>
              <w:bottom w:val="single" w:sz="4" w:space="0" w:color="auto"/>
              <w:right w:val="single" w:sz="4" w:space="0" w:color="auto"/>
            </w:tcBorders>
            <w:shd w:val="clear" w:color="000000" w:fill="FFFFFF"/>
          </w:tcPr>
          <w:p w14:paraId="22889097" w14:textId="6B5B3F83" w:rsidR="00DC750A" w:rsidRPr="000D52ED" w:rsidRDefault="008B2243" w:rsidP="00995497">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Parte 2-Titulo 6- Capitulo 6-</w:t>
            </w:r>
            <w:r w:rsidR="00B42420"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Artículo 2.2.7.6.19</w:t>
            </w:r>
          </w:p>
        </w:tc>
        <w:tc>
          <w:tcPr>
            <w:tcW w:w="1461" w:type="pct"/>
            <w:tcBorders>
              <w:top w:val="single" w:sz="4" w:space="0" w:color="auto"/>
              <w:left w:val="single" w:sz="4" w:space="0" w:color="auto"/>
              <w:bottom w:val="single" w:sz="4" w:space="0" w:color="auto"/>
              <w:right w:val="single" w:sz="4" w:space="0" w:color="auto"/>
            </w:tcBorders>
            <w:shd w:val="clear" w:color="000000" w:fill="FFFFFF"/>
          </w:tcPr>
          <w:p w14:paraId="6C1FA993" w14:textId="37B6F109" w:rsidR="00DC750A" w:rsidRPr="000D52ED" w:rsidRDefault="00DC750A" w:rsidP="00995497">
            <w:pPr>
              <w:rPr>
                <w:rFonts w:ascii="Calibri" w:hAnsi="Calibri" w:cs="Calibri"/>
                <w:noProof/>
                <w:color w:val="000000"/>
                <w:sz w:val="16"/>
                <w:szCs w:val="16"/>
                <w:lang w:val="es-ES_tradnl" w:eastAsia="es-CO"/>
              </w:rPr>
            </w:pPr>
            <w:r w:rsidRPr="000D52ED">
              <w:rPr>
                <w:rFonts w:ascii="Calibri" w:hAnsi="Calibri" w:cs="Calibri"/>
                <w:b/>
                <w:bCs/>
                <w:noProof/>
                <w:color w:val="000000"/>
                <w:sz w:val="16"/>
                <w:szCs w:val="16"/>
                <w:lang w:val="es-ES_tradnl" w:eastAsia="es-CO"/>
              </w:rPr>
              <w:t>Artículo 2.2.7.6.19. Museo Nacional de la Memoria.</w:t>
            </w:r>
            <w:r w:rsidRPr="000D52ED">
              <w:rPr>
                <w:rFonts w:ascii="Calibri" w:hAnsi="Calibri" w:cs="Calibri"/>
                <w:noProof/>
                <w:color w:val="000000"/>
                <w:sz w:val="16"/>
                <w:szCs w:val="16"/>
                <w:lang w:val="es-ES_tradnl" w:eastAsia="es-CO"/>
              </w:rPr>
              <w:t xml:space="preserve"> El Consejo Directivo del Centro de Memoria Histórica diseñará, creará y administrará el Museo Nacional de la Memoria y adoptará los lineamientos de contenido y forma de presentación con la asesoría técnica del Museo Nacional de Colombia. Para el efecto, podrá encargar el diseño, preparación de contenidos, concertación con las víctimas y demás trámites que se requieran para el inicio de la puesta en marcha del Museo, a una comisión de expertos con el apoyo y participación de entidades privadas, o a través del mecanismo que el Consejo Directivo considere apropiado. (Decreto 4800 de 2011)</w:t>
            </w:r>
          </w:p>
        </w:tc>
        <w:tc>
          <w:tcPr>
            <w:tcW w:w="1400" w:type="pct"/>
            <w:tcBorders>
              <w:top w:val="single" w:sz="4" w:space="0" w:color="auto"/>
              <w:left w:val="single" w:sz="4" w:space="0" w:color="auto"/>
              <w:bottom w:val="single" w:sz="4" w:space="0" w:color="auto"/>
              <w:right w:val="single" w:sz="4" w:space="0" w:color="auto"/>
            </w:tcBorders>
            <w:shd w:val="clear" w:color="000000" w:fill="FFFFFF"/>
          </w:tcPr>
          <w:p w14:paraId="7096A85F" w14:textId="2BD321BA" w:rsidR="00DC750A" w:rsidRPr="000D52ED" w:rsidRDefault="00DC750A" w:rsidP="008B2243">
            <w:pPr>
              <w:rPr>
                <w:rFonts w:ascii="Calibri" w:hAnsi="Calibri" w:cs="Calibri"/>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Artículo 2.2.7.6.19 Museo de Memoria de Colombia. </w:t>
            </w:r>
            <w:r w:rsidRPr="000D52ED">
              <w:rPr>
                <w:rFonts w:ascii="Calibri" w:hAnsi="Calibri" w:cs="Calibri"/>
                <w:noProof/>
                <w:color w:val="000000"/>
                <w:sz w:val="16"/>
                <w:szCs w:val="16"/>
                <w:lang w:val="es-ES_tradnl" w:eastAsia="es-CO"/>
              </w:rPr>
              <w:t>El Consejo Directivo del Centro de Memoria Histórica definirá y adoptará, a propuesta del Director General, los lineamientos estratégicos para la creación, construcción y puesta en marcha del Museo de Memoria de Colombia. Así mismo, verificar</w:t>
            </w:r>
            <w:r w:rsidR="00683328">
              <w:rPr>
                <w:rFonts w:ascii="Calibri" w:hAnsi="Calibri" w:cs="Calibri"/>
                <w:noProof/>
                <w:color w:val="000000"/>
                <w:sz w:val="16"/>
                <w:szCs w:val="16"/>
                <w:lang w:val="es-ES_tradnl" w:eastAsia="es-CO"/>
              </w:rPr>
              <w:t>á</w:t>
            </w:r>
            <w:r w:rsidRPr="000D52ED">
              <w:rPr>
                <w:rFonts w:ascii="Calibri" w:hAnsi="Calibri" w:cs="Calibri"/>
                <w:noProof/>
                <w:color w:val="000000"/>
                <w:sz w:val="16"/>
                <w:szCs w:val="16"/>
                <w:lang w:val="es-ES_tradnl" w:eastAsia="es-CO"/>
              </w:rPr>
              <w:t xml:space="preserve"> la implementación y materialización de lo adoptado y definido en las disposiciones legales y reglamentarias que rigen la materia. Parágrafo: El Director General informará al Consejo Directivo de las medidas, acciones, políticas y actividades adoptadas e implementadas para el diseño, creación, dirección y administración del Museo de la Memoria de Colombia, de conformidad con las facultades que le han sido otorgadas</w:t>
            </w:r>
            <w:r w:rsidR="008015DB">
              <w:rPr>
                <w:rFonts w:ascii="Calibri" w:hAnsi="Calibri" w:cs="Calibri"/>
                <w:noProof/>
                <w:color w:val="000000"/>
                <w:sz w:val="16"/>
                <w:szCs w:val="16"/>
                <w:lang w:val="es-ES_tradnl" w:eastAsia="es-CO"/>
              </w:rPr>
              <w:t>.</w:t>
            </w:r>
          </w:p>
          <w:p w14:paraId="15B95980" w14:textId="77777777" w:rsidR="00DC750A" w:rsidRPr="000D52ED" w:rsidRDefault="00DC750A" w:rsidP="008B2243">
            <w:pPr>
              <w:rPr>
                <w:rFonts w:ascii="Calibri" w:hAnsi="Calibri" w:cs="Calibri"/>
                <w:noProof/>
                <w:color w:val="000000"/>
                <w:sz w:val="16"/>
                <w:szCs w:val="16"/>
                <w:lang w:val="es-ES_tradnl" w:eastAsia="es-CO"/>
              </w:rPr>
            </w:pPr>
          </w:p>
        </w:tc>
        <w:tc>
          <w:tcPr>
            <w:tcW w:w="1469" w:type="pct"/>
            <w:tcBorders>
              <w:top w:val="single" w:sz="4" w:space="0" w:color="auto"/>
              <w:left w:val="single" w:sz="4" w:space="0" w:color="auto"/>
              <w:bottom w:val="single" w:sz="4" w:space="0" w:color="auto"/>
              <w:right w:val="single" w:sz="4" w:space="0" w:color="auto"/>
            </w:tcBorders>
            <w:shd w:val="clear" w:color="000000" w:fill="FFFFFF"/>
          </w:tcPr>
          <w:p w14:paraId="298ED8E3" w14:textId="5DC1A9F8" w:rsidR="008B2243" w:rsidRPr="000D52ED" w:rsidRDefault="008B2243" w:rsidP="008B2243">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Se citan los siguientes apartes de le memoria justificativa que da sustento a la modificación del artículo: </w:t>
            </w:r>
            <w:r w:rsidRPr="000D52ED">
              <w:rPr>
                <w:rFonts w:ascii="Calibri" w:hAnsi="Calibri" w:cs="Calibri"/>
                <w:noProof/>
                <w:color w:val="000000"/>
                <w:sz w:val="16"/>
                <w:szCs w:val="16"/>
                <w:lang w:val="es-ES_tradnl" w:eastAsia="es-CO"/>
              </w:rPr>
              <w:br/>
              <w:t>(…) en primera medida que el Consejo Directivo, de conformidad con el artículo 72 de Ley 489 de 1998 y el artículo 3 del Decreto 4803 de 2011, es el encargado de la Dirección y Administración de los establecimientos públicos, junto con el Director General.</w:t>
            </w:r>
          </w:p>
          <w:p w14:paraId="682341D9" w14:textId="77777777" w:rsidR="008B2243" w:rsidRPr="000D52ED" w:rsidRDefault="008B2243" w:rsidP="008B2243">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 el Consejo Directivo de los establecimientos públicos se integrará en forma que determine el respectivo acto de creación. </w:t>
            </w:r>
          </w:p>
          <w:p w14:paraId="30E4F860" w14:textId="77777777" w:rsidR="00DC750A" w:rsidRPr="000D52ED" w:rsidRDefault="008B2243" w:rsidP="008B2243">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Todos los miembros de los consejos directivos deberán obrar consultando la política gubernamental del respectivo sector y el interés de la entidad para la cual actúan.</w:t>
            </w:r>
          </w:p>
          <w:p w14:paraId="02AB48F6" w14:textId="7C3C5064" w:rsidR="008B2243" w:rsidRPr="000D52ED" w:rsidRDefault="008B2243" w:rsidP="008B2243">
            <w:pPr>
              <w:rPr>
                <w:rFonts w:ascii="Calibri" w:hAnsi="Calibri" w:cs="Calibri"/>
                <w:noProof/>
                <w:color w:val="000000"/>
                <w:sz w:val="16"/>
                <w:szCs w:val="16"/>
                <w:lang w:val="es-ES_tradnl" w:eastAsia="es-CO"/>
              </w:rPr>
            </w:pPr>
          </w:p>
        </w:tc>
      </w:tr>
      <w:tr w:rsidR="00A04C9E" w:rsidRPr="00CA558D" w14:paraId="1D10F8A9" w14:textId="77777777" w:rsidTr="00641218">
        <w:trPr>
          <w:trHeight w:val="432"/>
          <w:tblHeader/>
        </w:trPr>
        <w:tc>
          <w:tcPr>
            <w:tcW w:w="217" w:type="pct"/>
            <w:tcBorders>
              <w:top w:val="single" w:sz="4" w:space="0" w:color="auto"/>
              <w:left w:val="single" w:sz="4" w:space="0" w:color="auto"/>
              <w:bottom w:val="single" w:sz="4" w:space="0" w:color="auto"/>
              <w:right w:val="single" w:sz="4" w:space="0" w:color="auto"/>
            </w:tcBorders>
            <w:shd w:val="clear" w:color="000000" w:fill="FFFFFF"/>
            <w:noWrap/>
          </w:tcPr>
          <w:p w14:paraId="22B864C6" w14:textId="77777777" w:rsidR="00A04C9E" w:rsidRPr="000D52ED" w:rsidRDefault="00A04C9E" w:rsidP="00BB601E">
            <w:pPr>
              <w:rPr>
                <w:rFonts w:ascii="Calibri" w:hAnsi="Calibri" w:cs="Calibri"/>
                <w:noProof/>
                <w:color w:val="000000"/>
                <w:sz w:val="16"/>
                <w:szCs w:val="16"/>
                <w:lang w:val="es-ES_tradnl" w:eastAsia="es-CO"/>
              </w:rPr>
            </w:pPr>
          </w:p>
        </w:tc>
        <w:tc>
          <w:tcPr>
            <w:tcW w:w="453" w:type="pct"/>
            <w:tcBorders>
              <w:top w:val="single" w:sz="4" w:space="0" w:color="auto"/>
              <w:left w:val="single" w:sz="4" w:space="0" w:color="auto"/>
              <w:bottom w:val="single" w:sz="4" w:space="0" w:color="auto"/>
              <w:right w:val="single" w:sz="4" w:space="0" w:color="auto"/>
            </w:tcBorders>
            <w:shd w:val="clear" w:color="000000" w:fill="FFFFFF"/>
          </w:tcPr>
          <w:p w14:paraId="16FEBE93" w14:textId="77777777" w:rsidR="00A04C9E" w:rsidRPr="000D52ED" w:rsidRDefault="00A04C9E" w:rsidP="00995497">
            <w:pPr>
              <w:rPr>
                <w:rFonts w:ascii="Calibri" w:hAnsi="Calibri" w:cs="Calibri"/>
                <w:noProof/>
                <w:color w:val="000000"/>
                <w:sz w:val="16"/>
                <w:szCs w:val="16"/>
                <w:lang w:val="es-ES_tradnl" w:eastAsia="es-CO"/>
              </w:rPr>
            </w:pPr>
          </w:p>
        </w:tc>
        <w:tc>
          <w:tcPr>
            <w:tcW w:w="1461" w:type="pct"/>
            <w:tcBorders>
              <w:top w:val="single" w:sz="4" w:space="0" w:color="auto"/>
              <w:left w:val="single" w:sz="4" w:space="0" w:color="auto"/>
              <w:bottom w:val="single" w:sz="4" w:space="0" w:color="auto"/>
              <w:right w:val="single" w:sz="4" w:space="0" w:color="auto"/>
            </w:tcBorders>
            <w:shd w:val="clear" w:color="000000" w:fill="FFFFFF"/>
          </w:tcPr>
          <w:p w14:paraId="45E1BB2F" w14:textId="77777777" w:rsidR="00A04C9E" w:rsidRPr="000D52ED" w:rsidRDefault="00A04C9E" w:rsidP="00995497">
            <w:pPr>
              <w:rPr>
                <w:rFonts w:ascii="Calibri" w:hAnsi="Calibri" w:cs="Calibri"/>
                <w:b/>
                <w:bCs/>
                <w:noProof/>
                <w:color w:val="000000"/>
                <w:sz w:val="16"/>
                <w:szCs w:val="16"/>
                <w:lang w:val="es-ES_tradnl" w:eastAsia="es-CO"/>
              </w:rPr>
            </w:pPr>
          </w:p>
        </w:tc>
        <w:tc>
          <w:tcPr>
            <w:tcW w:w="1400" w:type="pct"/>
            <w:tcBorders>
              <w:top w:val="single" w:sz="4" w:space="0" w:color="auto"/>
              <w:left w:val="single" w:sz="4" w:space="0" w:color="auto"/>
              <w:bottom w:val="single" w:sz="4" w:space="0" w:color="auto"/>
              <w:right w:val="single" w:sz="4" w:space="0" w:color="auto"/>
            </w:tcBorders>
            <w:shd w:val="clear" w:color="000000" w:fill="FFFFFF"/>
          </w:tcPr>
          <w:p w14:paraId="7FD6D33C" w14:textId="77777777" w:rsidR="00A04C9E" w:rsidRPr="000D52ED" w:rsidRDefault="00A04C9E" w:rsidP="008B2243">
            <w:pPr>
              <w:rPr>
                <w:rFonts w:ascii="Calibri" w:hAnsi="Calibri" w:cs="Calibri"/>
                <w:b/>
                <w:bCs/>
                <w:noProof/>
                <w:color w:val="000000"/>
                <w:sz w:val="16"/>
                <w:szCs w:val="16"/>
                <w:lang w:val="es-ES_tradnl" w:eastAsia="es-CO"/>
              </w:rPr>
            </w:pPr>
          </w:p>
        </w:tc>
        <w:tc>
          <w:tcPr>
            <w:tcW w:w="1469" w:type="pct"/>
            <w:tcBorders>
              <w:top w:val="single" w:sz="4" w:space="0" w:color="auto"/>
              <w:left w:val="single" w:sz="4" w:space="0" w:color="auto"/>
              <w:bottom w:val="single" w:sz="4" w:space="0" w:color="auto"/>
              <w:right w:val="single" w:sz="4" w:space="0" w:color="auto"/>
            </w:tcBorders>
            <w:shd w:val="clear" w:color="000000" w:fill="FFFFFF"/>
          </w:tcPr>
          <w:p w14:paraId="2F203D4B" w14:textId="77777777" w:rsidR="00A04C9E" w:rsidRPr="000D52ED" w:rsidRDefault="00A04C9E" w:rsidP="00A04C9E">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 En el artículo 76 de la precitada norma, encontramos las funciones de los consejos directivos, a quienes le corresponde: </w:t>
            </w:r>
          </w:p>
          <w:p w14:paraId="02DC2E2E" w14:textId="77777777" w:rsidR="00A04C9E" w:rsidRPr="000D52ED" w:rsidRDefault="00A04C9E" w:rsidP="00A04C9E">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a. </w:t>
            </w:r>
            <w:r w:rsidRPr="000D52ED">
              <w:rPr>
                <w:rFonts w:ascii="Calibri" w:hAnsi="Calibri" w:cs="Calibri"/>
                <w:i/>
                <w:iCs/>
                <w:noProof/>
                <w:color w:val="000000"/>
                <w:sz w:val="16"/>
                <w:szCs w:val="16"/>
                <w:lang w:val="es-ES_tradnl" w:eastAsia="es-CO"/>
              </w:rPr>
              <w:t>Formular a propuesta del representante legal</w:t>
            </w:r>
            <w:r w:rsidRPr="000D52ED">
              <w:rPr>
                <w:rFonts w:ascii="Calibri" w:hAnsi="Calibri" w:cs="Calibri"/>
                <w:noProof/>
                <w:color w:val="000000"/>
                <w:sz w:val="16"/>
                <w:szCs w:val="16"/>
                <w:lang w:val="es-ES_tradnl" w:eastAsia="es-CO"/>
              </w:rPr>
              <w:t>, la política general del organismo, los planes y programas que, conforme a la Ley Orgánica de Planeación y a la Ley Orgánica del Presupuesto deben proponerse para su incorporación a los planes sectoriales y a través de estos, al Plan Nacional de Desarrollo</w:t>
            </w:r>
          </w:p>
          <w:p w14:paraId="6F72AAD7" w14:textId="76E5338F" w:rsidR="00A04C9E" w:rsidRPr="000D52ED" w:rsidRDefault="00A04C9E" w:rsidP="00A04C9E">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br/>
              <w:t>Viabilidad Jurídica:</w:t>
            </w:r>
            <w:r w:rsidRPr="000D52ED">
              <w:rPr>
                <w:rFonts w:ascii="Calibri" w:hAnsi="Calibri" w:cs="Calibri"/>
                <w:noProof/>
                <w:color w:val="000000"/>
                <w:sz w:val="16"/>
                <w:szCs w:val="16"/>
                <w:lang w:val="es-ES_tradnl" w:eastAsia="es-CO"/>
              </w:rPr>
              <w:br/>
            </w:r>
            <w:r w:rsidRPr="000D52ED">
              <w:rPr>
                <w:rFonts w:ascii="Calibri" w:hAnsi="Calibri" w:cs="Calibri"/>
                <w:b/>
                <w:bCs/>
                <w:noProof/>
                <w:color w:val="000000"/>
                <w:sz w:val="16"/>
                <w:szCs w:val="16"/>
                <w:lang w:val="es-ES_tradnl" w:eastAsia="es-CO"/>
              </w:rPr>
              <w:t>Confluencia de facultades del Consejo Directivo, Director General y el Director del</w:t>
            </w:r>
            <w:r w:rsidR="00B42420" w:rsidRPr="000D52ED">
              <w:rPr>
                <w:rFonts w:ascii="Calibri" w:hAnsi="Calibri" w:cs="Calibri"/>
                <w:b/>
                <w:bCs/>
                <w:noProof/>
                <w:color w:val="000000"/>
                <w:sz w:val="16"/>
                <w:szCs w:val="16"/>
                <w:lang w:val="es-ES_tradnl" w:eastAsia="es-CO"/>
              </w:rPr>
              <w:t xml:space="preserve"> </w:t>
            </w:r>
            <w:r w:rsidRPr="000D52ED">
              <w:rPr>
                <w:rFonts w:ascii="Calibri" w:hAnsi="Calibri" w:cs="Calibri"/>
                <w:b/>
                <w:bCs/>
                <w:noProof/>
                <w:color w:val="000000"/>
                <w:sz w:val="16"/>
                <w:szCs w:val="16"/>
                <w:lang w:val="es-ES_tradnl" w:eastAsia="es-CO"/>
              </w:rPr>
              <w:t>Museo Nacional de la Memoria del Centro Nacional de Memoria Histórica CNMH</w:t>
            </w:r>
            <w:r w:rsidRPr="000D52ED">
              <w:rPr>
                <w:rFonts w:ascii="Calibri" w:hAnsi="Calibri" w:cs="Calibri"/>
                <w:noProof/>
                <w:color w:val="000000"/>
                <w:sz w:val="16"/>
                <w:szCs w:val="16"/>
                <w:lang w:val="es-ES_tradnl" w:eastAsia="es-CO"/>
              </w:rPr>
              <w:t>, según lo dispuesto en el numeral 3° del artículo 9, numeral 2°del artículo 13 del Decreto 4803 de 2011 y el artículo 2.2.7.6.19 del Decreto 1084 de 2015.</w:t>
            </w:r>
            <w:r w:rsidRPr="000D52ED">
              <w:rPr>
                <w:rFonts w:ascii="Calibri" w:hAnsi="Calibri" w:cs="Calibri"/>
                <w:noProof/>
                <w:color w:val="000000"/>
                <w:sz w:val="16"/>
                <w:szCs w:val="16"/>
                <w:lang w:val="es-ES_tradnl" w:eastAsia="es-CO"/>
              </w:rPr>
              <w:br/>
              <w:t>Análisis de las normas que otorgan la competencia para la expedición del proyecto normativo.</w:t>
            </w:r>
            <w:r w:rsidRPr="000D52ED">
              <w:rPr>
                <w:rFonts w:ascii="Calibri" w:hAnsi="Calibri" w:cs="Calibri"/>
                <w:noProof/>
                <w:color w:val="000000"/>
                <w:sz w:val="16"/>
                <w:szCs w:val="16"/>
                <w:lang w:val="es-ES_tradnl" w:eastAsia="es-CO"/>
              </w:rPr>
              <w:br/>
              <w:t>FUNCIONES DEL DIRECTOR GENERAL: Contempladas en el numeral 3° del artículo 9 del Decreto 4803 de 2011, por el cual se establece la estructura del Centro Nacional de Memoria Histórica, así:</w:t>
            </w:r>
            <w:r w:rsidRPr="000D52ED">
              <w:rPr>
                <w:rFonts w:ascii="Calibri" w:hAnsi="Calibri" w:cs="Calibri"/>
                <w:noProof/>
                <w:color w:val="000000"/>
                <w:sz w:val="16"/>
                <w:szCs w:val="16"/>
                <w:lang w:val="es-ES_tradnl" w:eastAsia="es-CO"/>
              </w:rPr>
              <w:br/>
              <w:t>“Dirigir y controlar el diseño, creación y administración del Museo Nacional de la Memoria, fomentando la participación del sector privado y de la cooperación internacional, y adoptar los lineamientos de contenido y forma de presentación con la asesoría técnica del Museo Nacional de Colombia.”</w:t>
            </w:r>
            <w:r w:rsidRPr="000D52ED">
              <w:rPr>
                <w:rFonts w:ascii="Calibri" w:hAnsi="Calibri" w:cs="Calibri"/>
                <w:noProof/>
                <w:color w:val="000000"/>
                <w:sz w:val="16"/>
                <w:szCs w:val="16"/>
                <w:lang w:val="es-ES_tradnl" w:eastAsia="es-CO"/>
              </w:rPr>
              <w:br/>
              <w:t>FUNCIONES DE LA DIRECCIÓN DEL MUSEO DE LA MEMORIA. Contempladas en el numeral 2°del artículo 13 del Decreto 4803 de 2011, así:</w:t>
            </w:r>
            <w:r w:rsidRPr="000D52ED">
              <w:rPr>
                <w:rFonts w:ascii="Calibri" w:hAnsi="Calibri" w:cs="Calibri"/>
                <w:noProof/>
                <w:color w:val="000000"/>
                <w:sz w:val="16"/>
                <w:szCs w:val="16"/>
                <w:lang w:val="es-ES_tradnl" w:eastAsia="es-CO"/>
              </w:rPr>
              <w:br/>
              <w:t>“Proponer los lineamientos de contenido y forma de presentación del Museo de la Memoria, promoviendo el apoyo del sector privado, la sociedad civil y la cooperación internacional.”</w:t>
            </w:r>
            <w:r w:rsidRPr="000D52ED">
              <w:rPr>
                <w:rFonts w:ascii="Calibri" w:hAnsi="Calibri" w:cs="Calibri"/>
                <w:noProof/>
                <w:color w:val="000000"/>
                <w:sz w:val="16"/>
                <w:szCs w:val="16"/>
                <w:lang w:val="es-ES_tradnl" w:eastAsia="es-CO"/>
              </w:rPr>
              <w:br/>
            </w:r>
          </w:p>
        </w:tc>
      </w:tr>
      <w:tr w:rsidR="00F72821" w:rsidRPr="00CA558D" w14:paraId="0A535AA9" w14:textId="77777777" w:rsidTr="00641218">
        <w:trPr>
          <w:trHeight w:val="432"/>
          <w:tblHeader/>
        </w:trPr>
        <w:tc>
          <w:tcPr>
            <w:tcW w:w="217" w:type="pct"/>
            <w:tcBorders>
              <w:top w:val="single" w:sz="4" w:space="0" w:color="auto"/>
              <w:left w:val="single" w:sz="4" w:space="0" w:color="auto"/>
              <w:bottom w:val="single" w:sz="4" w:space="0" w:color="auto"/>
              <w:right w:val="single" w:sz="4" w:space="0" w:color="auto"/>
            </w:tcBorders>
            <w:shd w:val="clear" w:color="000000" w:fill="FFFFFF"/>
            <w:noWrap/>
          </w:tcPr>
          <w:p w14:paraId="3CD4C4BF" w14:textId="3E8122B2" w:rsidR="00F72821" w:rsidRPr="00D533E1" w:rsidRDefault="00F72821" w:rsidP="00F72821">
            <w:pPr>
              <w:rPr>
                <w:rFonts w:ascii="Calibri" w:hAnsi="Calibri" w:cs="Calibri"/>
                <w:noProof/>
                <w:color w:val="000000"/>
                <w:sz w:val="16"/>
                <w:szCs w:val="16"/>
                <w:lang w:val="es-ES_tradnl" w:eastAsia="es-CO"/>
              </w:rPr>
            </w:pPr>
            <w:r w:rsidRPr="00D533E1">
              <w:rPr>
                <w:rFonts w:ascii="Calibri" w:hAnsi="Calibri" w:cs="Calibri"/>
                <w:noProof/>
                <w:color w:val="000000"/>
                <w:sz w:val="16"/>
                <w:szCs w:val="16"/>
                <w:lang w:val="es-ES_tradnl" w:eastAsia="es-CO"/>
              </w:rPr>
              <w:t>6</w:t>
            </w:r>
          </w:p>
        </w:tc>
        <w:tc>
          <w:tcPr>
            <w:tcW w:w="453" w:type="pct"/>
            <w:tcBorders>
              <w:top w:val="single" w:sz="4" w:space="0" w:color="auto"/>
              <w:left w:val="single" w:sz="4" w:space="0" w:color="auto"/>
              <w:bottom w:val="single" w:sz="4" w:space="0" w:color="auto"/>
              <w:right w:val="single" w:sz="4" w:space="0" w:color="auto"/>
            </w:tcBorders>
            <w:shd w:val="clear" w:color="000000" w:fill="FFFFFF"/>
          </w:tcPr>
          <w:p w14:paraId="1F1CE4FB" w14:textId="2FE0D25D" w:rsidR="00F72821" w:rsidRPr="00D533E1" w:rsidRDefault="00F72821" w:rsidP="00F72821">
            <w:pPr>
              <w:jc w:val="both"/>
              <w:rPr>
                <w:rFonts w:ascii="Calibri" w:hAnsi="Calibri" w:cs="Calibri"/>
                <w:noProof/>
                <w:color w:val="000000"/>
                <w:sz w:val="16"/>
                <w:szCs w:val="16"/>
                <w:lang w:val="es-ES_tradnl" w:eastAsia="es-CO"/>
              </w:rPr>
            </w:pPr>
            <w:r w:rsidRPr="00D533E1">
              <w:rPr>
                <w:rFonts w:ascii="Calibri" w:hAnsi="Calibri" w:cs="Calibri"/>
                <w:noProof/>
                <w:color w:val="000000"/>
                <w:sz w:val="16"/>
                <w:szCs w:val="16"/>
                <w:lang w:val="es-ES_tradnl" w:eastAsia="es-CO"/>
              </w:rPr>
              <w:t>Parte 4</w:t>
            </w:r>
            <w:r w:rsidR="00B42420" w:rsidRPr="00D533E1">
              <w:rPr>
                <w:rFonts w:ascii="Calibri" w:hAnsi="Calibri" w:cs="Calibri"/>
                <w:noProof/>
                <w:color w:val="000000"/>
                <w:sz w:val="16"/>
                <w:szCs w:val="16"/>
                <w:lang w:val="es-ES_tradnl" w:eastAsia="es-CO"/>
              </w:rPr>
              <w:t xml:space="preserve"> </w:t>
            </w:r>
          </w:p>
          <w:p w14:paraId="498CB4A5" w14:textId="32892137" w:rsidR="00F72821" w:rsidRPr="00D533E1" w:rsidRDefault="00F72821" w:rsidP="00F72821">
            <w:pPr>
              <w:rPr>
                <w:rFonts w:ascii="Calibri" w:hAnsi="Calibri" w:cs="Calibri"/>
                <w:noProof/>
                <w:color w:val="000000"/>
                <w:sz w:val="16"/>
                <w:szCs w:val="16"/>
                <w:lang w:val="es-ES_tradnl" w:eastAsia="es-CO"/>
              </w:rPr>
            </w:pPr>
            <w:r w:rsidRPr="00D533E1">
              <w:rPr>
                <w:rFonts w:ascii="Calibri" w:hAnsi="Calibri" w:cs="Calibri"/>
                <w:noProof/>
                <w:color w:val="000000"/>
                <w:sz w:val="16"/>
                <w:szCs w:val="16"/>
                <w:lang w:val="es-ES_tradnl" w:eastAsia="es-CO"/>
              </w:rPr>
              <w:t>Titulo 2 Artículo 2.4.2.11</w:t>
            </w:r>
          </w:p>
        </w:tc>
        <w:tc>
          <w:tcPr>
            <w:tcW w:w="1461" w:type="pct"/>
            <w:tcBorders>
              <w:top w:val="single" w:sz="4" w:space="0" w:color="auto"/>
              <w:left w:val="single" w:sz="4" w:space="0" w:color="auto"/>
              <w:bottom w:val="single" w:sz="4" w:space="0" w:color="auto"/>
              <w:right w:val="single" w:sz="4" w:space="0" w:color="auto"/>
            </w:tcBorders>
            <w:shd w:val="clear" w:color="000000" w:fill="FFFFFF"/>
          </w:tcPr>
          <w:p w14:paraId="592D8466" w14:textId="77777777" w:rsidR="00F72821" w:rsidRPr="00D533E1" w:rsidRDefault="00F72821" w:rsidP="00F72821">
            <w:pPr>
              <w:jc w:val="both"/>
              <w:rPr>
                <w:rFonts w:ascii="Calibri" w:hAnsi="Calibri" w:cs="Calibri"/>
                <w:noProof/>
                <w:color w:val="0070C0"/>
                <w:sz w:val="16"/>
                <w:szCs w:val="16"/>
                <w:u w:val="single"/>
                <w:lang w:val="es-ES_tradnl" w:eastAsia="es-CO"/>
              </w:rPr>
            </w:pPr>
            <w:r w:rsidRPr="00D533E1">
              <w:rPr>
                <w:rFonts w:ascii="Calibri" w:hAnsi="Calibri" w:cs="Calibri"/>
                <w:b/>
                <w:bCs/>
                <w:noProof/>
                <w:color w:val="000000"/>
                <w:sz w:val="16"/>
                <w:szCs w:val="16"/>
                <w:lang w:val="es-ES_tradnl" w:eastAsia="es-CO"/>
              </w:rPr>
              <w:t>Artículo 2.4.2.11. De la Adopción.</w:t>
            </w:r>
            <w:r w:rsidRPr="00D533E1">
              <w:rPr>
                <w:rFonts w:ascii="Calibri" w:hAnsi="Calibri" w:cs="Calibri"/>
                <w:noProof/>
                <w:color w:val="000000"/>
                <w:sz w:val="16"/>
                <w:szCs w:val="16"/>
                <w:lang w:val="es-ES_tradnl" w:eastAsia="es-CO"/>
              </w:rPr>
              <w:t xml:space="preserve"> La institución legal de la adopción constituye por sí medida de protección preventiva tendiente a suministrar un hogar estable al niño, niña o adolescente con vulneración de derechos.</w:t>
            </w:r>
            <w:r w:rsidRPr="00D533E1">
              <w:rPr>
                <w:rFonts w:ascii="Calibri" w:hAnsi="Calibri" w:cs="Calibri"/>
                <w:noProof/>
                <w:color w:val="000000"/>
                <w:sz w:val="16"/>
                <w:szCs w:val="16"/>
                <w:lang w:val="es-ES_tradnl" w:eastAsia="es-CO"/>
              </w:rPr>
              <w:br/>
            </w:r>
            <w:r w:rsidRPr="00D533E1">
              <w:rPr>
                <w:rFonts w:ascii="Calibri" w:hAnsi="Calibri" w:cs="Calibri"/>
                <w:noProof/>
                <w:color w:val="000000"/>
                <w:sz w:val="16"/>
                <w:szCs w:val="16"/>
                <w:lang w:val="es-ES_tradnl" w:eastAsia="es-CO"/>
              </w:rPr>
              <w:br/>
            </w:r>
          </w:p>
          <w:p w14:paraId="423D2AAD" w14:textId="77777777" w:rsidR="00F72821" w:rsidRPr="00D533E1" w:rsidRDefault="00F72821" w:rsidP="00F72821">
            <w:pPr>
              <w:jc w:val="both"/>
              <w:rPr>
                <w:rFonts w:ascii="Calibri" w:hAnsi="Calibri" w:cs="Calibri"/>
                <w:noProof/>
                <w:color w:val="0070C0"/>
                <w:sz w:val="16"/>
                <w:szCs w:val="16"/>
                <w:u w:val="single"/>
                <w:lang w:val="es-ES_tradnl" w:eastAsia="es-CO"/>
              </w:rPr>
            </w:pPr>
          </w:p>
          <w:p w14:paraId="35FAEEF1" w14:textId="3F9AFEB9" w:rsidR="00F72821" w:rsidRPr="00D533E1" w:rsidRDefault="00F72821" w:rsidP="00F72821">
            <w:pPr>
              <w:rPr>
                <w:rFonts w:ascii="Calibri" w:hAnsi="Calibri" w:cs="Calibri"/>
                <w:b/>
                <w:bCs/>
                <w:noProof/>
                <w:color w:val="000000"/>
                <w:sz w:val="16"/>
                <w:szCs w:val="16"/>
                <w:lang w:val="es-ES_tradnl" w:eastAsia="es-CO"/>
              </w:rPr>
            </w:pPr>
            <w:r w:rsidRPr="00D533E1">
              <w:rPr>
                <w:rFonts w:ascii="Calibri" w:hAnsi="Calibri" w:cs="Calibri"/>
                <w:noProof/>
                <w:color w:val="0070C0"/>
                <w:sz w:val="16"/>
                <w:szCs w:val="16"/>
                <w:u w:val="single"/>
                <w:lang w:val="es-ES_tradnl" w:eastAsia="es-CO"/>
              </w:rPr>
              <w:t>(Decreto 2388 de 1979, artículo 58)</w:t>
            </w:r>
          </w:p>
        </w:tc>
        <w:tc>
          <w:tcPr>
            <w:tcW w:w="1400" w:type="pct"/>
            <w:tcBorders>
              <w:top w:val="single" w:sz="4" w:space="0" w:color="auto"/>
              <w:left w:val="single" w:sz="4" w:space="0" w:color="auto"/>
              <w:bottom w:val="single" w:sz="4" w:space="0" w:color="auto"/>
              <w:right w:val="single" w:sz="4" w:space="0" w:color="auto"/>
            </w:tcBorders>
            <w:shd w:val="clear" w:color="000000" w:fill="FFFFFF"/>
          </w:tcPr>
          <w:p w14:paraId="76AD5496" w14:textId="2961E6EB" w:rsidR="00F72821" w:rsidRPr="00D533E1" w:rsidRDefault="00F72821" w:rsidP="00F72821">
            <w:pPr>
              <w:rPr>
                <w:rFonts w:ascii="Calibri" w:hAnsi="Calibri" w:cs="Calibri"/>
                <w:b/>
                <w:bCs/>
                <w:noProof/>
                <w:color w:val="000000"/>
                <w:sz w:val="16"/>
                <w:szCs w:val="16"/>
                <w:lang w:val="es-ES_tradnl" w:eastAsia="es-CO"/>
              </w:rPr>
            </w:pPr>
            <w:r w:rsidRPr="00D533E1">
              <w:rPr>
                <w:rFonts w:ascii="Calibri" w:hAnsi="Calibri" w:cs="Calibri"/>
                <w:b/>
                <w:bCs/>
                <w:noProof/>
                <w:color w:val="000000"/>
                <w:sz w:val="16"/>
                <w:szCs w:val="16"/>
                <w:lang w:val="es-ES_tradnl" w:eastAsia="es-CO"/>
              </w:rPr>
              <w:t xml:space="preserve">Artículo 2.4.2.11. De la Adopción. </w:t>
            </w:r>
            <w:r w:rsidRPr="00D533E1">
              <w:rPr>
                <w:rFonts w:ascii="Calibri" w:hAnsi="Calibri" w:cs="Calibri"/>
                <w:noProof/>
                <w:color w:val="000000"/>
                <w:sz w:val="16"/>
                <w:szCs w:val="16"/>
                <w:lang w:val="es-ES_tradnl" w:eastAsia="es-CO"/>
              </w:rPr>
              <w:t>Para los efectos de este</w:t>
            </w:r>
            <w:r w:rsidR="0090085B" w:rsidRPr="00D533E1">
              <w:rPr>
                <w:rFonts w:ascii="Calibri" w:hAnsi="Calibri" w:cs="Calibri"/>
                <w:noProof/>
                <w:color w:val="000000"/>
                <w:sz w:val="16"/>
                <w:szCs w:val="16"/>
                <w:lang w:val="es-ES_tradnl" w:eastAsia="es-CO"/>
              </w:rPr>
              <w:t xml:space="preserve"> artículo </w:t>
            </w:r>
            <w:r w:rsidRPr="00D533E1">
              <w:rPr>
                <w:rFonts w:ascii="Calibri" w:hAnsi="Calibri" w:cs="Calibri"/>
                <w:noProof/>
                <w:color w:val="000000"/>
                <w:sz w:val="16"/>
                <w:szCs w:val="16"/>
                <w:lang w:val="es-ES_tradnl" w:eastAsia="es-CO"/>
              </w:rPr>
              <w:t xml:space="preserve">se aplicará lo consagrado en el artículo </w:t>
            </w:r>
            <w:r w:rsidR="0090085B" w:rsidRPr="00D533E1">
              <w:rPr>
                <w:rFonts w:ascii="Calibri" w:hAnsi="Calibri" w:cs="Calibri"/>
                <w:noProof/>
                <w:color w:val="000000"/>
                <w:sz w:val="16"/>
                <w:szCs w:val="16"/>
                <w:lang w:val="es-ES_tradnl" w:eastAsia="es-CO"/>
              </w:rPr>
              <w:t>61</w:t>
            </w:r>
            <w:r w:rsidRPr="00D533E1">
              <w:rPr>
                <w:rFonts w:ascii="Calibri" w:hAnsi="Calibri" w:cs="Calibri"/>
                <w:noProof/>
                <w:color w:val="000000"/>
                <w:sz w:val="16"/>
                <w:szCs w:val="16"/>
                <w:lang w:val="es-ES_tradnl" w:eastAsia="es-CO"/>
              </w:rPr>
              <w:t xml:space="preserve"> de la Ley 1098 de 2006.”</w:t>
            </w:r>
          </w:p>
        </w:tc>
        <w:tc>
          <w:tcPr>
            <w:tcW w:w="1469" w:type="pct"/>
            <w:tcBorders>
              <w:top w:val="single" w:sz="4" w:space="0" w:color="auto"/>
              <w:left w:val="single" w:sz="4" w:space="0" w:color="auto"/>
              <w:bottom w:val="single" w:sz="4" w:space="0" w:color="auto"/>
              <w:right w:val="single" w:sz="4" w:space="0" w:color="auto"/>
            </w:tcBorders>
            <w:shd w:val="clear" w:color="000000" w:fill="FFFFFF"/>
          </w:tcPr>
          <w:p w14:paraId="54DF68A9" w14:textId="44AE0EBB" w:rsidR="0083561D" w:rsidRPr="00D533E1" w:rsidRDefault="0083561D" w:rsidP="0083561D">
            <w:pPr>
              <w:rPr>
                <w:rFonts w:ascii="Calibri" w:hAnsi="Calibri" w:cs="Calibri"/>
                <w:noProof/>
                <w:color w:val="000000"/>
                <w:sz w:val="16"/>
                <w:szCs w:val="16"/>
                <w:lang w:val="es-ES_tradnl" w:eastAsia="es-CO"/>
              </w:rPr>
            </w:pPr>
            <w:r w:rsidRPr="00D533E1">
              <w:rPr>
                <w:rFonts w:ascii="Calibri" w:hAnsi="Calibri" w:cs="Calibri"/>
                <w:noProof/>
                <w:color w:val="000000"/>
                <w:sz w:val="16"/>
                <w:szCs w:val="16"/>
                <w:lang w:val="es-ES_tradnl" w:eastAsia="es-CO"/>
              </w:rPr>
              <w:t>Se configura una derogatoria tácita de la definición de programa de adopción señalado en el artículo 81 del Decreto 2388 de 1979 compilado en el artículo 2.4.3.3.3.1. del Decreto 1084 de 2015.</w:t>
            </w:r>
            <w:r w:rsidR="00F72821" w:rsidRPr="00D533E1">
              <w:rPr>
                <w:rFonts w:ascii="Calibri" w:hAnsi="Calibri" w:cs="Calibri"/>
                <w:noProof/>
                <w:color w:val="000000"/>
                <w:sz w:val="16"/>
                <w:szCs w:val="16"/>
                <w:lang w:val="es-ES_tradnl" w:eastAsia="es-CO"/>
              </w:rPr>
              <w:t>.</w:t>
            </w:r>
            <w:r w:rsidR="00F72821" w:rsidRPr="00D533E1">
              <w:rPr>
                <w:rFonts w:ascii="Calibri" w:hAnsi="Calibri" w:cs="Calibri"/>
                <w:noProof/>
                <w:color w:val="000000"/>
                <w:sz w:val="16"/>
                <w:szCs w:val="16"/>
                <w:lang w:val="es-ES_tradnl" w:eastAsia="es-CO"/>
              </w:rPr>
              <w:br/>
            </w:r>
          </w:p>
          <w:p w14:paraId="7292F1CE" w14:textId="171C0580" w:rsidR="00F72821" w:rsidRPr="000D52ED" w:rsidRDefault="00F72821" w:rsidP="0083561D">
            <w:pPr>
              <w:rPr>
                <w:rFonts w:ascii="Calibri" w:hAnsi="Calibri" w:cs="Calibri"/>
                <w:noProof/>
                <w:color w:val="000000"/>
                <w:sz w:val="16"/>
                <w:szCs w:val="16"/>
                <w:lang w:val="es-ES_tradnl" w:eastAsia="es-CO"/>
              </w:rPr>
            </w:pPr>
            <w:r w:rsidRPr="00D533E1">
              <w:rPr>
                <w:rFonts w:ascii="Calibri" w:hAnsi="Calibri" w:cs="Calibri"/>
                <w:noProof/>
                <w:color w:val="000000"/>
                <w:sz w:val="16"/>
                <w:szCs w:val="16"/>
                <w:lang w:val="es-ES_tradnl" w:eastAsia="es-CO"/>
              </w:rPr>
              <w:br/>
              <w:t>Estos ajustes normativos propuestos también fueron comentados desde la Defensoría del Pueblo.</w:t>
            </w:r>
          </w:p>
        </w:tc>
      </w:tr>
      <w:tr w:rsidR="00F72821" w:rsidRPr="00CA558D" w14:paraId="012842D0" w14:textId="77777777" w:rsidTr="00641218">
        <w:trPr>
          <w:trHeight w:val="432"/>
          <w:tblHeader/>
        </w:trPr>
        <w:tc>
          <w:tcPr>
            <w:tcW w:w="217" w:type="pct"/>
            <w:tcBorders>
              <w:top w:val="single" w:sz="4" w:space="0" w:color="auto"/>
              <w:left w:val="single" w:sz="4" w:space="0" w:color="auto"/>
              <w:bottom w:val="single" w:sz="4" w:space="0" w:color="auto"/>
              <w:right w:val="single" w:sz="4" w:space="0" w:color="auto"/>
            </w:tcBorders>
            <w:shd w:val="clear" w:color="000000" w:fill="FFFFFF"/>
            <w:noWrap/>
          </w:tcPr>
          <w:p w14:paraId="7B1CD75C" w14:textId="3A4053D2" w:rsidR="00F72821" w:rsidRPr="000D52ED" w:rsidRDefault="0090085B" w:rsidP="00F72821">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lastRenderedPageBreak/>
              <w:t>7</w:t>
            </w:r>
          </w:p>
        </w:tc>
        <w:tc>
          <w:tcPr>
            <w:tcW w:w="453" w:type="pct"/>
            <w:tcBorders>
              <w:top w:val="single" w:sz="4" w:space="0" w:color="auto"/>
              <w:left w:val="single" w:sz="4" w:space="0" w:color="auto"/>
              <w:bottom w:val="single" w:sz="4" w:space="0" w:color="auto"/>
              <w:right w:val="single" w:sz="4" w:space="0" w:color="auto"/>
            </w:tcBorders>
            <w:shd w:val="clear" w:color="000000" w:fill="FFFFFF"/>
          </w:tcPr>
          <w:p w14:paraId="1C7ED651" w14:textId="77777777" w:rsidR="00F72821" w:rsidRPr="000D52ED" w:rsidRDefault="00F72821" w:rsidP="00FC65E5">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Parte 4</w:t>
            </w:r>
          </w:p>
          <w:p w14:paraId="48F0987F" w14:textId="77777777" w:rsidR="00F72821" w:rsidRPr="000D52ED" w:rsidRDefault="00F72821" w:rsidP="00FC65E5">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Título 3 Capitulo 3 Sección 3 Artículo 2.4.3.3.3.1</w:t>
            </w:r>
          </w:p>
        </w:tc>
        <w:tc>
          <w:tcPr>
            <w:tcW w:w="1461" w:type="pct"/>
            <w:tcBorders>
              <w:top w:val="single" w:sz="4" w:space="0" w:color="auto"/>
              <w:left w:val="single" w:sz="4" w:space="0" w:color="auto"/>
              <w:bottom w:val="single" w:sz="4" w:space="0" w:color="auto"/>
              <w:right w:val="single" w:sz="4" w:space="0" w:color="auto"/>
            </w:tcBorders>
            <w:shd w:val="clear" w:color="000000" w:fill="FFFFFF"/>
          </w:tcPr>
          <w:p w14:paraId="51172D62" w14:textId="77777777" w:rsidR="00F72821" w:rsidRPr="000D52ED" w:rsidRDefault="00F72821" w:rsidP="00FC65E5">
            <w:pPr>
              <w:jc w:val="both"/>
              <w:rPr>
                <w:rFonts w:ascii="Calibri" w:hAnsi="Calibri" w:cs="Calibri"/>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Artículo 2.4.3.3.3.1. Programa de Adopción. </w:t>
            </w:r>
            <w:r w:rsidRPr="000D52ED">
              <w:rPr>
                <w:rFonts w:ascii="Calibri" w:hAnsi="Calibri" w:cs="Calibri"/>
                <w:noProof/>
                <w:color w:val="000000"/>
                <w:sz w:val="16"/>
                <w:szCs w:val="16"/>
                <w:lang w:val="es-ES_tradnl" w:eastAsia="es-CO"/>
              </w:rPr>
              <w:t>Para efecto de lo dispuesto en el numeral 13 del artículo 21 de la Ley 7 de 1979, se entiende por programa de adopción al conjunto de actividades tendientes a brindar hogar a un niño, niña o adolescente con vulneración de derechos, o que esté en una institución de asistencia social o que haya sido entregado por sus padres, o guardador para ser adoptado.</w:t>
            </w:r>
            <w:r w:rsidRPr="000D52ED">
              <w:rPr>
                <w:rFonts w:ascii="Calibri" w:hAnsi="Calibri" w:cs="Calibri"/>
                <w:noProof/>
                <w:color w:val="000000"/>
                <w:sz w:val="16"/>
                <w:szCs w:val="16"/>
                <w:lang w:val="es-ES_tradnl" w:eastAsia="es-CO"/>
              </w:rPr>
              <w:br/>
            </w:r>
            <w:r w:rsidRPr="000D52ED">
              <w:rPr>
                <w:rFonts w:ascii="Calibri" w:hAnsi="Calibri" w:cs="Calibri"/>
                <w:noProof/>
                <w:color w:val="000000"/>
                <w:sz w:val="16"/>
                <w:szCs w:val="16"/>
                <w:lang w:val="es-ES_tradnl" w:eastAsia="es-CO"/>
              </w:rPr>
              <w:br/>
              <w:t>Estas actividades comprenden:</w:t>
            </w:r>
            <w:r w:rsidRPr="000D52ED">
              <w:rPr>
                <w:rFonts w:ascii="Calibri" w:hAnsi="Calibri" w:cs="Calibri"/>
                <w:noProof/>
                <w:color w:val="000000"/>
                <w:sz w:val="16"/>
                <w:szCs w:val="16"/>
                <w:lang w:val="es-ES_tradnl" w:eastAsia="es-CO"/>
              </w:rPr>
              <w:br/>
              <w:t>a) La recepción y cuidado del niño, niña o adolescente;</w:t>
            </w:r>
            <w:r w:rsidRPr="000D52ED">
              <w:rPr>
                <w:rFonts w:ascii="Calibri" w:hAnsi="Calibri" w:cs="Calibri"/>
                <w:noProof/>
                <w:color w:val="000000"/>
                <w:sz w:val="16"/>
                <w:szCs w:val="16"/>
                <w:lang w:val="es-ES_tradnl" w:eastAsia="es-CO"/>
              </w:rPr>
              <w:br/>
              <w:t>b) La selección de los presuntos adoptantes;</w:t>
            </w:r>
            <w:r w:rsidRPr="000D52ED">
              <w:rPr>
                <w:rFonts w:ascii="Calibri" w:hAnsi="Calibri" w:cs="Calibri"/>
                <w:noProof/>
                <w:color w:val="000000"/>
                <w:sz w:val="16"/>
                <w:szCs w:val="16"/>
                <w:lang w:val="es-ES_tradnl" w:eastAsia="es-CO"/>
              </w:rPr>
              <w:br/>
              <w:t>c) La solicitud al defensor de familia para la declaración de abandono, y</w:t>
            </w:r>
            <w:r w:rsidRPr="000D52ED">
              <w:rPr>
                <w:rFonts w:ascii="Calibri" w:hAnsi="Calibri" w:cs="Calibri"/>
                <w:noProof/>
                <w:color w:val="000000"/>
                <w:sz w:val="16"/>
                <w:szCs w:val="16"/>
                <w:lang w:val="es-ES_tradnl" w:eastAsia="es-CO"/>
              </w:rPr>
              <w:br/>
              <w:t>d) La presentación de la demanda de adopción al juez competente.</w:t>
            </w:r>
          </w:p>
          <w:p w14:paraId="0134DC00" w14:textId="77777777" w:rsidR="00F72821" w:rsidRPr="000D52ED" w:rsidRDefault="00F72821" w:rsidP="00FC65E5">
            <w:pPr>
              <w:jc w:val="both"/>
              <w:rPr>
                <w:rFonts w:ascii="Calibri" w:hAnsi="Calibri" w:cs="Calibri"/>
                <w:b/>
                <w:bCs/>
                <w:noProof/>
                <w:color w:val="000000"/>
                <w:sz w:val="16"/>
                <w:szCs w:val="16"/>
                <w:lang w:val="es-ES_tradnl" w:eastAsia="es-CO"/>
              </w:rPr>
            </w:pPr>
          </w:p>
          <w:p w14:paraId="63E8A5D8" w14:textId="77777777" w:rsidR="00F72821" w:rsidRPr="000D52ED" w:rsidRDefault="00F72821" w:rsidP="00FC65E5">
            <w:pPr>
              <w:jc w:val="both"/>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w:t>
            </w:r>
            <w:hyperlink r:id="rId13" w:history="1">
              <w:r w:rsidRPr="000D52ED">
                <w:rPr>
                  <w:rStyle w:val="Hipervnculo"/>
                  <w:rFonts w:ascii="Calibri" w:hAnsi="Calibri" w:cs="Calibri"/>
                  <w:b/>
                  <w:bCs/>
                  <w:noProof/>
                  <w:sz w:val="16"/>
                  <w:szCs w:val="16"/>
                  <w:lang w:val="es-ES_tradnl" w:eastAsia="es-CO"/>
                </w:rPr>
                <w:t>Decreto 2388 de 1979, artículo 81</w:t>
              </w:r>
            </w:hyperlink>
            <w:r w:rsidRPr="000D52ED">
              <w:rPr>
                <w:rFonts w:ascii="Calibri" w:hAnsi="Calibri" w:cs="Calibri"/>
                <w:b/>
                <w:bCs/>
                <w:noProof/>
                <w:color w:val="000000"/>
                <w:sz w:val="16"/>
                <w:szCs w:val="16"/>
                <w:lang w:val="es-ES_tradnl" w:eastAsia="es-CO"/>
              </w:rPr>
              <w:t>)</w:t>
            </w:r>
          </w:p>
          <w:p w14:paraId="6F2F3200" w14:textId="77777777" w:rsidR="00F72821" w:rsidRPr="000D52ED" w:rsidRDefault="00F72821" w:rsidP="00FC65E5">
            <w:pPr>
              <w:jc w:val="both"/>
              <w:rPr>
                <w:rFonts w:ascii="Calibri" w:hAnsi="Calibri" w:cs="Calibri"/>
                <w:b/>
                <w:bCs/>
                <w:noProof/>
                <w:color w:val="000000"/>
                <w:sz w:val="16"/>
                <w:szCs w:val="16"/>
                <w:lang w:val="es-ES_tradnl" w:eastAsia="es-CO"/>
              </w:rPr>
            </w:pPr>
          </w:p>
        </w:tc>
        <w:tc>
          <w:tcPr>
            <w:tcW w:w="1400" w:type="pct"/>
            <w:tcBorders>
              <w:top w:val="single" w:sz="4" w:space="0" w:color="auto"/>
              <w:left w:val="single" w:sz="4" w:space="0" w:color="auto"/>
              <w:bottom w:val="single" w:sz="4" w:space="0" w:color="auto"/>
              <w:right w:val="single" w:sz="4" w:space="0" w:color="auto"/>
            </w:tcBorders>
            <w:shd w:val="clear" w:color="000000" w:fill="FFFFFF"/>
          </w:tcPr>
          <w:p w14:paraId="009E09D6" w14:textId="3C447BB4" w:rsidR="00F72821" w:rsidRPr="000D52ED" w:rsidRDefault="00F72821" w:rsidP="00F72821">
            <w:pPr>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Artículo 2.4.3.3.3.1. Programa de Adopción. </w:t>
            </w:r>
            <w:r w:rsidRPr="000D52ED">
              <w:rPr>
                <w:rFonts w:ascii="Calibri" w:hAnsi="Calibri" w:cs="Calibri"/>
                <w:noProof/>
                <w:color w:val="000000"/>
                <w:sz w:val="16"/>
                <w:szCs w:val="16"/>
                <w:lang w:val="es-ES_tradnl" w:eastAsia="es-CO"/>
              </w:rPr>
              <w:t>Para los efectos de este programa se aplicará lo consagrado en el artículo 73 de la Ley 1098 de 2006.”</w:t>
            </w:r>
          </w:p>
        </w:tc>
        <w:tc>
          <w:tcPr>
            <w:tcW w:w="1469" w:type="pct"/>
            <w:tcBorders>
              <w:top w:val="single" w:sz="4" w:space="0" w:color="auto"/>
              <w:left w:val="single" w:sz="4" w:space="0" w:color="auto"/>
              <w:bottom w:val="single" w:sz="4" w:space="0" w:color="auto"/>
              <w:right w:val="single" w:sz="4" w:space="0" w:color="auto"/>
            </w:tcBorders>
            <w:shd w:val="clear" w:color="000000" w:fill="FFFFFF"/>
          </w:tcPr>
          <w:p w14:paraId="49EC1682" w14:textId="1A46A078" w:rsidR="00F72821" w:rsidRPr="000D52ED" w:rsidRDefault="0083561D" w:rsidP="0083561D">
            <w:pPr>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Se configura una derogatoria tácita, por cuanto el </w:t>
            </w:r>
            <w:r w:rsidR="008015DB">
              <w:rPr>
                <w:rFonts w:ascii="Calibri" w:hAnsi="Calibri" w:cs="Calibri"/>
                <w:noProof/>
                <w:color w:val="000000"/>
                <w:sz w:val="16"/>
                <w:szCs w:val="16"/>
                <w:lang w:val="es-ES_tradnl" w:eastAsia="es-CO"/>
              </w:rPr>
              <w:t xml:space="preserve">artículo </w:t>
            </w:r>
            <w:r w:rsidRPr="000D52ED">
              <w:rPr>
                <w:rFonts w:ascii="Calibri" w:hAnsi="Calibri" w:cs="Calibri"/>
                <w:noProof/>
                <w:color w:val="000000"/>
                <w:sz w:val="16"/>
                <w:szCs w:val="16"/>
                <w:lang w:val="es-ES_tradnl" w:eastAsia="es-CO"/>
              </w:rPr>
              <w:t>73 de la Ley 1098 de 2006 estableció una definición del “programa de adopción” diferente a</w:t>
            </w:r>
            <w:r w:rsidR="005374EF">
              <w:rPr>
                <w:rFonts w:ascii="Calibri" w:hAnsi="Calibri" w:cs="Calibri"/>
                <w:noProof/>
                <w:color w:val="000000"/>
                <w:sz w:val="16"/>
                <w:szCs w:val="16"/>
                <w:lang w:val="es-ES_tradnl" w:eastAsia="es-CO"/>
              </w:rPr>
              <w:t xml:space="preserve"> </w:t>
            </w:r>
            <w:r w:rsidRPr="000D52ED">
              <w:rPr>
                <w:rFonts w:ascii="Calibri" w:hAnsi="Calibri" w:cs="Calibri"/>
                <w:noProof/>
                <w:color w:val="000000"/>
                <w:sz w:val="16"/>
                <w:szCs w:val="16"/>
                <w:lang w:val="es-ES_tradnl" w:eastAsia="es-CO"/>
              </w:rPr>
              <w:t>l</w:t>
            </w:r>
            <w:r w:rsidR="005374EF">
              <w:rPr>
                <w:rFonts w:ascii="Calibri" w:hAnsi="Calibri" w:cs="Calibri"/>
                <w:noProof/>
                <w:color w:val="000000"/>
                <w:sz w:val="16"/>
                <w:szCs w:val="16"/>
                <w:lang w:val="es-ES_tradnl" w:eastAsia="es-CO"/>
              </w:rPr>
              <w:t>a</w:t>
            </w:r>
            <w:r w:rsidRPr="000D52ED">
              <w:rPr>
                <w:rFonts w:ascii="Calibri" w:hAnsi="Calibri" w:cs="Calibri"/>
                <w:noProof/>
                <w:color w:val="000000"/>
                <w:sz w:val="16"/>
                <w:szCs w:val="16"/>
                <w:lang w:val="es-ES_tradnl" w:eastAsia="es-CO"/>
              </w:rPr>
              <w:t xml:space="preserve"> señalad</w:t>
            </w:r>
            <w:r w:rsidR="005374EF">
              <w:rPr>
                <w:rFonts w:ascii="Calibri" w:hAnsi="Calibri" w:cs="Calibri"/>
                <w:noProof/>
                <w:color w:val="000000"/>
                <w:sz w:val="16"/>
                <w:szCs w:val="16"/>
                <w:lang w:val="es-ES_tradnl" w:eastAsia="es-CO"/>
              </w:rPr>
              <w:t>a</w:t>
            </w:r>
            <w:r w:rsidRPr="000D52ED">
              <w:rPr>
                <w:rFonts w:ascii="Calibri" w:hAnsi="Calibri" w:cs="Calibri"/>
                <w:noProof/>
                <w:color w:val="000000"/>
                <w:sz w:val="16"/>
                <w:szCs w:val="16"/>
                <w:lang w:val="es-ES_tradnl" w:eastAsia="es-CO"/>
              </w:rPr>
              <w:t xml:space="preserve"> en el artículo 2.4.3.3.3.1.</w:t>
            </w:r>
            <w:r w:rsidR="00F72821" w:rsidRPr="000D52ED">
              <w:rPr>
                <w:rFonts w:ascii="Calibri" w:hAnsi="Calibri" w:cs="Calibri"/>
                <w:noProof/>
                <w:color w:val="000000"/>
                <w:sz w:val="16"/>
                <w:szCs w:val="16"/>
                <w:lang w:val="es-ES_tradnl" w:eastAsia="es-CO"/>
              </w:rPr>
              <w:br/>
            </w:r>
            <w:r w:rsidR="00F72821" w:rsidRPr="000D52ED">
              <w:rPr>
                <w:rFonts w:ascii="Calibri" w:hAnsi="Calibri" w:cs="Calibri"/>
                <w:noProof/>
                <w:color w:val="000000"/>
                <w:sz w:val="16"/>
                <w:szCs w:val="16"/>
                <w:lang w:val="es-ES_tradnl" w:eastAsia="es-CO"/>
              </w:rPr>
              <w:br/>
              <w:t xml:space="preserve">Estos ajustes normativos propuestos también fueron comentados desde la Defensoría del Pueblo. </w:t>
            </w:r>
          </w:p>
        </w:tc>
      </w:tr>
    </w:tbl>
    <w:p w14:paraId="16B0AB76" w14:textId="77777777" w:rsidR="00F72821" w:rsidRPr="000D52ED" w:rsidRDefault="00F72821" w:rsidP="00E16D5F">
      <w:pPr>
        <w:jc w:val="both"/>
        <w:rPr>
          <w:noProof/>
          <w:lang w:val="es-ES_tradnl"/>
        </w:rPr>
      </w:pPr>
    </w:p>
    <w:p w14:paraId="61D25FEC" w14:textId="004336BF" w:rsidR="00403F1D" w:rsidRPr="000D52ED" w:rsidRDefault="00EE3DF4" w:rsidP="00E16D5F">
      <w:pPr>
        <w:pStyle w:val="Ttulo2"/>
        <w:numPr>
          <w:ilvl w:val="0"/>
          <w:numId w:val="18"/>
        </w:numPr>
        <w:jc w:val="both"/>
        <w:rPr>
          <w:noProof/>
          <w:lang w:val="es-ES_tradnl"/>
        </w:rPr>
      </w:pPr>
      <w:r w:rsidRPr="000D52ED">
        <w:rPr>
          <w:noProof/>
          <w:lang w:val="es-ES_tradnl"/>
        </w:rPr>
        <w:t>balance general</w:t>
      </w:r>
      <w:r w:rsidR="00BE5F80" w:rsidRPr="000D52ED">
        <w:rPr>
          <w:noProof/>
          <w:lang w:val="es-ES_tradnl"/>
        </w:rPr>
        <w:t>:</w:t>
      </w:r>
    </w:p>
    <w:p w14:paraId="3A128BFC" w14:textId="77777777" w:rsidR="008255EE" w:rsidRDefault="008255EE" w:rsidP="00E37317">
      <w:pPr>
        <w:rPr>
          <w:noProof/>
          <w:lang w:val="es-ES_tradnl"/>
        </w:rPr>
      </w:pPr>
    </w:p>
    <w:p w14:paraId="2D97FEA7" w14:textId="4E4B4E95" w:rsidR="00E37317" w:rsidRPr="000D52ED" w:rsidRDefault="00B706BE" w:rsidP="00E37317">
      <w:pPr>
        <w:rPr>
          <w:noProof/>
          <w:lang w:val="es-ES_tradnl"/>
        </w:rPr>
      </w:pPr>
      <w:r w:rsidRPr="000D52ED">
        <w:rPr>
          <w:noProof/>
          <w:lang w:val="es-ES_tradnl"/>
        </w:rPr>
        <w:t>La</w:t>
      </w:r>
      <w:r w:rsidR="00416675" w:rsidRPr="000D52ED">
        <w:rPr>
          <w:noProof/>
          <w:lang w:val="es-ES_tradnl"/>
        </w:rPr>
        <w:t>s</w:t>
      </w:r>
      <w:r w:rsidRPr="000D52ED">
        <w:rPr>
          <w:noProof/>
          <w:lang w:val="es-ES_tradnl"/>
        </w:rPr>
        <w:t xml:space="preserve"> </w:t>
      </w:r>
      <w:r w:rsidR="00284BED" w:rsidRPr="000D52ED">
        <w:rPr>
          <w:noProof/>
          <w:lang w:val="es-ES_tradnl"/>
        </w:rPr>
        <w:t>siguientes son</w:t>
      </w:r>
      <w:r w:rsidR="00E37317" w:rsidRPr="000D52ED">
        <w:rPr>
          <w:noProof/>
          <w:lang w:val="es-ES_tradnl"/>
        </w:rPr>
        <w:t xml:space="preserve"> las disposiciones resultado</w:t>
      </w:r>
      <w:r w:rsidR="007C292D" w:rsidRPr="000D52ED">
        <w:rPr>
          <w:noProof/>
          <w:lang w:val="es-ES_tradnl"/>
        </w:rPr>
        <w:t xml:space="preserve"> de eliminación y modificación</w:t>
      </w:r>
      <w:r w:rsidR="00E37317" w:rsidRPr="000D52ED">
        <w:rPr>
          <w:noProof/>
          <w:lang w:val="es-ES_tradnl"/>
        </w:rPr>
        <w:t xml:space="preserve"> del proceso de análisis </w:t>
      </w:r>
      <w:r w:rsidR="00DF4F58" w:rsidRPr="000D52ED">
        <w:rPr>
          <w:noProof/>
          <w:lang w:val="es-ES_tradnl"/>
        </w:rPr>
        <w:t>de depuración</w:t>
      </w:r>
      <w:r w:rsidR="00594E83" w:rsidRPr="000D52ED">
        <w:rPr>
          <w:noProof/>
          <w:lang w:val="es-ES_tradnl"/>
        </w:rPr>
        <w:t xml:space="preserve"> normativa realizado.</w:t>
      </w:r>
      <w:r w:rsidR="00E37317" w:rsidRPr="000D52ED">
        <w:rPr>
          <w:noProof/>
          <w:lang w:val="es-ES_tradnl"/>
        </w:rPr>
        <w:t>:</w:t>
      </w:r>
    </w:p>
    <w:p w14:paraId="70D3B3DC" w14:textId="77777777" w:rsidR="000F0DCD" w:rsidRPr="000D52ED" w:rsidRDefault="000F0DCD" w:rsidP="00E16D5F">
      <w:pPr>
        <w:jc w:val="both"/>
        <w:rPr>
          <w:noProof/>
          <w:lang w:val="es-ES_tradnl"/>
        </w:rPr>
      </w:pPr>
    </w:p>
    <w:tbl>
      <w:tblPr>
        <w:tblW w:w="4954" w:type="dxa"/>
        <w:jc w:val="center"/>
        <w:tblLayout w:type="fixed"/>
        <w:tblCellMar>
          <w:left w:w="70" w:type="dxa"/>
          <w:right w:w="70" w:type="dxa"/>
        </w:tblCellMar>
        <w:tblLook w:val="04A0" w:firstRow="1" w:lastRow="0" w:firstColumn="1" w:lastColumn="0" w:noHBand="0" w:noVBand="1"/>
      </w:tblPr>
      <w:tblGrid>
        <w:gridCol w:w="1841"/>
        <w:gridCol w:w="2948"/>
        <w:gridCol w:w="165"/>
      </w:tblGrid>
      <w:tr w:rsidR="000F0DCD" w:rsidRPr="00CA558D" w14:paraId="24C67FB4" w14:textId="77777777" w:rsidTr="00BE7F20">
        <w:trPr>
          <w:gridAfter w:val="1"/>
          <w:wAfter w:w="165" w:type="dxa"/>
          <w:trHeight w:val="624"/>
          <w:jc w:val="center"/>
        </w:trPr>
        <w:tc>
          <w:tcPr>
            <w:tcW w:w="478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A0BE114" w14:textId="56EAE308" w:rsidR="000F0DCD" w:rsidRPr="000D52ED" w:rsidRDefault="000F0DCD" w:rsidP="00E16D5F">
            <w:pPr>
              <w:jc w:val="both"/>
              <w:rPr>
                <w:rFonts w:ascii="Calibri" w:hAnsi="Calibri" w:cs="Calibri"/>
                <w:b/>
                <w:bCs/>
                <w:noProof/>
                <w:color w:val="000000"/>
                <w:sz w:val="20"/>
                <w:szCs w:val="20"/>
                <w:lang w:val="es-ES_tradnl" w:eastAsia="es-CO"/>
              </w:rPr>
            </w:pPr>
            <w:r w:rsidRPr="000D52ED">
              <w:rPr>
                <w:rFonts w:ascii="Calibri" w:hAnsi="Calibri" w:cs="Calibri"/>
                <w:b/>
                <w:bCs/>
                <w:noProof/>
                <w:color w:val="000000"/>
                <w:sz w:val="20"/>
                <w:szCs w:val="20"/>
                <w:lang w:val="es-ES_tradnl" w:eastAsia="es-CO"/>
              </w:rPr>
              <w:t xml:space="preserve">Balance de disposiciones objeto de depuración y modificación. </w:t>
            </w:r>
          </w:p>
        </w:tc>
      </w:tr>
      <w:tr w:rsidR="000F0DCD" w:rsidRPr="00CA558D" w14:paraId="557295A6" w14:textId="77777777" w:rsidTr="00BE7F20">
        <w:trPr>
          <w:trHeight w:val="80"/>
          <w:jc w:val="center"/>
        </w:trPr>
        <w:tc>
          <w:tcPr>
            <w:tcW w:w="4789" w:type="dxa"/>
            <w:gridSpan w:val="2"/>
            <w:vMerge/>
            <w:tcBorders>
              <w:top w:val="single" w:sz="8" w:space="0" w:color="auto"/>
              <w:left w:val="single" w:sz="8" w:space="0" w:color="auto"/>
              <w:bottom w:val="single" w:sz="8" w:space="0" w:color="000000"/>
              <w:right w:val="single" w:sz="8" w:space="0" w:color="000000"/>
            </w:tcBorders>
            <w:vAlign w:val="center"/>
            <w:hideMark/>
          </w:tcPr>
          <w:p w14:paraId="6E1DE225" w14:textId="77777777" w:rsidR="000F0DCD" w:rsidRPr="000D52ED" w:rsidRDefault="000F0DCD" w:rsidP="00E16D5F">
            <w:pPr>
              <w:jc w:val="both"/>
              <w:rPr>
                <w:rFonts w:ascii="Calibri" w:hAnsi="Calibri" w:cs="Calibri"/>
                <w:b/>
                <w:bCs/>
                <w:noProof/>
                <w:color w:val="000000"/>
                <w:sz w:val="16"/>
                <w:szCs w:val="16"/>
                <w:lang w:val="es-ES_tradnl" w:eastAsia="es-CO"/>
              </w:rPr>
            </w:pPr>
          </w:p>
        </w:tc>
        <w:tc>
          <w:tcPr>
            <w:tcW w:w="165" w:type="dxa"/>
            <w:tcBorders>
              <w:top w:val="nil"/>
              <w:left w:val="nil"/>
              <w:bottom w:val="nil"/>
              <w:right w:val="nil"/>
            </w:tcBorders>
            <w:shd w:val="clear" w:color="auto" w:fill="auto"/>
            <w:noWrap/>
            <w:vAlign w:val="bottom"/>
            <w:hideMark/>
          </w:tcPr>
          <w:p w14:paraId="0B79A9C5" w14:textId="77777777" w:rsidR="000F0DCD" w:rsidRPr="000D52ED" w:rsidRDefault="000F0DCD" w:rsidP="00E16D5F">
            <w:pPr>
              <w:jc w:val="both"/>
              <w:rPr>
                <w:rFonts w:ascii="Calibri" w:hAnsi="Calibri" w:cs="Calibri"/>
                <w:b/>
                <w:bCs/>
                <w:noProof/>
                <w:color w:val="000000"/>
                <w:sz w:val="16"/>
                <w:szCs w:val="16"/>
                <w:lang w:val="es-ES_tradnl" w:eastAsia="es-CO"/>
              </w:rPr>
            </w:pPr>
          </w:p>
        </w:tc>
      </w:tr>
      <w:tr w:rsidR="000F0DCD" w:rsidRPr="00CA558D" w14:paraId="68FF8959" w14:textId="77777777" w:rsidTr="00BE7F20">
        <w:trPr>
          <w:trHeight w:val="282"/>
          <w:jc w:val="center"/>
        </w:trPr>
        <w:tc>
          <w:tcPr>
            <w:tcW w:w="1841" w:type="dxa"/>
            <w:tcBorders>
              <w:top w:val="nil"/>
              <w:left w:val="single" w:sz="8" w:space="0" w:color="auto"/>
              <w:bottom w:val="single" w:sz="4" w:space="0" w:color="auto"/>
              <w:right w:val="single" w:sz="4" w:space="0" w:color="auto"/>
            </w:tcBorders>
            <w:shd w:val="clear" w:color="auto" w:fill="auto"/>
            <w:noWrap/>
            <w:vAlign w:val="bottom"/>
            <w:hideMark/>
          </w:tcPr>
          <w:p w14:paraId="27E3EC27" w14:textId="77777777" w:rsidR="000F0DCD" w:rsidRPr="000D52ED" w:rsidRDefault="000F0DCD" w:rsidP="00E16D5F">
            <w:pPr>
              <w:jc w:val="both"/>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Numero de normas:</w:t>
            </w:r>
          </w:p>
        </w:tc>
        <w:tc>
          <w:tcPr>
            <w:tcW w:w="2948" w:type="dxa"/>
            <w:tcBorders>
              <w:top w:val="nil"/>
              <w:left w:val="nil"/>
              <w:bottom w:val="single" w:sz="4" w:space="0" w:color="auto"/>
              <w:right w:val="single" w:sz="8" w:space="0" w:color="auto"/>
            </w:tcBorders>
            <w:shd w:val="clear" w:color="auto" w:fill="auto"/>
            <w:noWrap/>
            <w:vAlign w:val="bottom"/>
            <w:hideMark/>
          </w:tcPr>
          <w:p w14:paraId="6DE76EC1" w14:textId="77777777" w:rsidR="000F0DCD" w:rsidRPr="000D52ED" w:rsidRDefault="000F0DCD" w:rsidP="00E16D5F">
            <w:pPr>
              <w:jc w:val="both"/>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Criterio de depuración utilizado:</w:t>
            </w:r>
          </w:p>
        </w:tc>
        <w:tc>
          <w:tcPr>
            <w:tcW w:w="165" w:type="dxa"/>
            <w:vAlign w:val="center"/>
            <w:hideMark/>
          </w:tcPr>
          <w:p w14:paraId="6290D31A" w14:textId="77777777" w:rsidR="000F0DCD" w:rsidRPr="000D52ED" w:rsidRDefault="000F0DCD" w:rsidP="00E16D5F">
            <w:pPr>
              <w:jc w:val="both"/>
              <w:rPr>
                <w:noProof/>
                <w:sz w:val="16"/>
                <w:szCs w:val="16"/>
                <w:lang w:val="es-ES_tradnl" w:eastAsia="es-CO"/>
              </w:rPr>
            </w:pPr>
          </w:p>
        </w:tc>
      </w:tr>
      <w:tr w:rsidR="000F0DCD" w:rsidRPr="00CA558D" w14:paraId="7EA7E7FB" w14:textId="77777777" w:rsidTr="00BE7F20">
        <w:trPr>
          <w:trHeight w:val="282"/>
          <w:jc w:val="center"/>
        </w:trPr>
        <w:tc>
          <w:tcPr>
            <w:tcW w:w="1841" w:type="dxa"/>
            <w:tcBorders>
              <w:top w:val="nil"/>
              <w:left w:val="single" w:sz="8" w:space="0" w:color="auto"/>
              <w:bottom w:val="single" w:sz="4" w:space="0" w:color="auto"/>
              <w:right w:val="single" w:sz="4" w:space="0" w:color="auto"/>
            </w:tcBorders>
            <w:shd w:val="clear" w:color="auto" w:fill="auto"/>
            <w:noWrap/>
            <w:vAlign w:val="bottom"/>
            <w:hideMark/>
          </w:tcPr>
          <w:p w14:paraId="2E4513AB" w14:textId="2B3F7596" w:rsidR="000F0DCD" w:rsidRPr="000D52ED" w:rsidRDefault="00B42420"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Cuatro </w:t>
            </w:r>
            <w:r w:rsidR="000F0DCD" w:rsidRPr="000D52ED">
              <w:rPr>
                <w:rFonts w:ascii="Calibri" w:hAnsi="Calibri" w:cs="Calibri"/>
                <w:noProof/>
                <w:color w:val="000000"/>
                <w:sz w:val="16"/>
                <w:szCs w:val="16"/>
                <w:lang w:val="es-ES_tradnl" w:eastAsia="es-CO"/>
              </w:rPr>
              <w:t>(</w:t>
            </w:r>
            <w:r w:rsidRPr="000D52ED">
              <w:rPr>
                <w:rFonts w:ascii="Calibri" w:hAnsi="Calibri" w:cs="Calibri"/>
                <w:noProof/>
                <w:color w:val="000000"/>
                <w:sz w:val="16"/>
                <w:szCs w:val="16"/>
                <w:lang w:val="es-ES_tradnl" w:eastAsia="es-CO"/>
              </w:rPr>
              <w:t>4</w:t>
            </w:r>
            <w:r w:rsidR="000F0DCD" w:rsidRPr="000D52ED">
              <w:rPr>
                <w:rFonts w:ascii="Calibri" w:hAnsi="Calibri" w:cs="Calibri"/>
                <w:noProof/>
                <w:color w:val="000000"/>
                <w:sz w:val="16"/>
                <w:szCs w:val="16"/>
                <w:lang w:val="es-ES_tradnl" w:eastAsia="es-CO"/>
              </w:rPr>
              <w:t>) normas</w:t>
            </w:r>
          </w:p>
        </w:tc>
        <w:tc>
          <w:tcPr>
            <w:tcW w:w="2948" w:type="dxa"/>
            <w:tcBorders>
              <w:top w:val="nil"/>
              <w:left w:val="nil"/>
              <w:bottom w:val="single" w:sz="4" w:space="0" w:color="auto"/>
              <w:right w:val="single" w:sz="8" w:space="0" w:color="auto"/>
            </w:tcBorders>
            <w:shd w:val="clear" w:color="auto" w:fill="auto"/>
            <w:noWrap/>
            <w:vAlign w:val="bottom"/>
            <w:hideMark/>
          </w:tcPr>
          <w:p w14:paraId="2B105606" w14:textId="0F113FA1" w:rsidR="000F0DCD" w:rsidRPr="000D52ED" w:rsidRDefault="000F0DCD"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Obsolescencia </w:t>
            </w:r>
          </w:p>
        </w:tc>
        <w:tc>
          <w:tcPr>
            <w:tcW w:w="165" w:type="dxa"/>
            <w:vAlign w:val="center"/>
            <w:hideMark/>
          </w:tcPr>
          <w:p w14:paraId="2CC0E1EC" w14:textId="77777777" w:rsidR="000F0DCD" w:rsidRPr="000D52ED" w:rsidRDefault="000F0DCD" w:rsidP="00E16D5F">
            <w:pPr>
              <w:jc w:val="both"/>
              <w:rPr>
                <w:noProof/>
                <w:sz w:val="16"/>
                <w:szCs w:val="16"/>
                <w:lang w:val="es-ES_tradnl" w:eastAsia="es-CO"/>
              </w:rPr>
            </w:pPr>
          </w:p>
        </w:tc>
      </w:tr>
      <w:tr w:rsidR="000F0DCD" w:rsidRPr="00CA558D" w14:paraId="41B99D80" w14:textId="77777777" w:rsidTr="00BE7F20">
        <w:trPr>
          <w:trHeight w:val="282"/>
          <w:jc w:val="center"/>
        </w:trPr>
        <w:tc>
          <w:tcPr>
            <w:tcW w:w="1841" w:type="dxa"/>
            <w:tcBorders>
              <w:top w:val="nil"/>
              <w:left w:val="single" w:sz="8" w:space="0" w:color="auto"/>
              <w:bottom w:val="single" w:sz="4" w:space="0" w:color="auto"/>
              <w:right w:val="single" w:sz="4" w:space="0" w:color="auto"/>
            </w:tcBorders>
            <w:shd w:val="clear" w:color="auto" w:fill="auto"/>
            <w:noWrap/>
            <w:vAlign w:val="bottom"/>
            <w:hideMark/>
          </w:tcPr>
          <w:p w14:paraId="0A7B92CE" w14:textId="77777777" w:rsidR="000F0DCD" w:rsidRPr="000D52ED" w:rsidRDefault="000F0DCD"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Una (1) normas</w:t>
            </w:r>
          </w:p>
        </w:tc>
        <w:tc>
          <w:tcPr>
            <w:tcW w:w="2948" w:type="dxa"/>
            <w:tcBorders>
              <w:top w:val="nil"/>
              <w:left w:val="nil"/>
              <w:bottom w:val="single" w:sz="4" w:space="0" w:color="auto"/>
              <w:right w:val="single" w:sz="8" w:space="0" w:color="auto"/>
            </w:tcBorders>
            <w:shd w:val="clear" w:color="auto" w:fill="auto"/>
            <w:noWrap/>
            <w:vAlign w:val="bottom"/>
            <w:hideMark/>
          </w:tcPr>
          <w:p w14:paraId="41BB9DCF" w14:textId="77777777" w:rsidR="000F0DCD" w:rsidRPr="000D52ED" w:rsidRDefault="000F0DCD"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xml:space="preserve">Agotamiento del plazo </w:t>
            </w:r>
          </w:p>
        </w:tc>
        <w:tc>
          <w:tcPr>
            <w:tcW w:w="165" w:type="dxa"/>
            <w:vAlign w:val="center"/>
            <w:hideMark/>
          </w:tcPr>
          <w:p w14:paraId="55A1F826" w14:textId="77777777" w:rsidR="000F0DCD" w:rsidRPr="000D52ED" w:rsidRDefault="000F0DCD" w:rsidP="00E16D5F">
            <w:pPr>
              <w:jc w:val="both"/>
              <w:rPr>
                <w:noProof/>
                <w:sz w:val="16"/>
                <w:szCs w:val="16"/>
                <w:lang w:val="es-ES_tradnl" w:eastAsia="es-CO"/>
              </w:rPr>
            </w:pPr>
          </w:p>
        </w:tc>
      </w:tr>
      <w:tr w:rsidR="000F0DCD" w:rsidRPr="00CA558D" w14:paraId="10BC0E67" w14:textId="77777777" w:rsidTr="00BE7F20">
        <w:trPr>
          <w:trHeight w:val="282"/>
          <w:jc w:val="center"/>
        </w:trPr>
        <w:tc>
          <w:tcPr>
            <w:tcW w:w="4789"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026FA4F7" w14:textId="10CD4507" w:rsidR="000F0DCD" w:rsidRPr="000D52ED" w:rsidRDefault="000F0DCD" w:rsidP="00E16D5F">
            <w:pPr>
              <w:jc w:val="both"/>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Total, </w:t>
            </w:r>
            <w:r w:rsidR="00B42420" w:rsidRPr="000D52ED">
              <w:rPr>
                <w:rFonts w:ascii="Calibri" w:hAnsi="Calibri" w:cs="Calibri"/>
                <w:b/>
                <w:bCs/>
                <w:noProof/>
                <w:color w:val="000000"/>
                <w:sz w:val="16"/>
                <w:szCs w:val="16"/>
                <w:lang w:val="es-ES_tradnl" w:eastAsia="es-CO"/>
              </w:rPr>
              <w:t>cinco</w:t>
            </w:r>
            <w:r w:rsidRPr="000D52ED">
              <w:rPr>
                <w:rFonts w:ascii="Calibri" w:hAnsi="Calibri" w:cs="Calibri"/>
                <w:b/>
                <w:bCs/>
                <w:noProof/>
                <w:color w:val="000000"/>
                <w:sz w:val="16"/>
                <w:szCs w:val="16"/>
                <w:lang w:val="es-ES_tradnl" w:eastAsia="es-CO"/>
              </w:rPr>
              <w:t xml:space="preserve"> (</w:t>
            </w:r>
            <w:r w:rsidR="00B42420" w:rsidRPr="000D52ED">
              <w:rPr>
                <w:rFonts w:ascii="Calibri" w:hAnsi="Calibri" w:cs="Calibri"/>
                <w:b/>
                <w:bCs/>
                <w:noProof/>
                <w:color w:val="000000"/>
                <w:sz w:val="16"/>
                <w:szCs w:val="16"/>
                <w:lang w:val="es-ES_tradnl" w:eastAsia="es-CO"/>
              </w:rPr>
              <w:t>5)</w:t>
            </w:r>
            <w:r w:rsidRPr="000D52ED">
              <w:rPr>
                <w:rFonts w:ascii="Calibri" w:hAnsi="Calibri" w:cs="Calibri"/>
                <w:b/>
                <w:bCs/>
                <w:noProof/>
                <w:color w:val="000000"/>
                <w:sz w:val="16"/>
                <w:szCs w:val="16"/>
                <w:lang w:val="es-ES_tradnl" w:eastAsia="es-CO"/>
              </w:rPr>
              <w:t xml:space="preserve"> normas objeto de depuración</w:t>
            </w:r>
          </w:p>
        </w:tc>
        <w:tc>
          <w:tcPr>
            <w:tcW w:w="165" w:type="dxa"/>
            <w:vAlign w:val="center"/>
            <w:hideMark/>
          </w:tcPr>
          <w:p w14:paraId="10185686" w14:textId="77777777" w:rsidR="000F0DCD" w:rsidRPr="000D52ED" w:rsidRDefault="000F0DCD" w:rsidP="00E16D5F">
            <w:pPr>
              <w:jc w:val="both"/>
              <w:rPr>
                <w:noProof/>
                <w:sz w:val="16"/>
                <w:szCs w:val="16"/>
                <w:lang w:val="es-ES_tradnl" w:eastAsia="es-CO"/>
              </w:rPr>
            </w:pPr>
          </w:p>
        </w:tc>
      </w:tr>
      <w:tr w:rsidR="000F0DCD" w:rsidRPr="00CA558D" w14:paraId="2ADC0D1F" w14:textId="77777777" w:rsidTr="00BE7F20">
        <w:trPr>
          <w:trHeight w:val="282"/>
          <w:jc w:val="center"/>
        </w:trPr>
        <w:tc>
          <w:tcPr>
            <w:tcW w:w="4789" w:type="dxa"/>
            <w:gridSpan w:val="2"/>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198146FC" w14:textId="77777777" w:rsidR="000F0DCD" w:rsidRPr="000D52ED" w:rsidRDefault="000F0DCD" w:rsidP="00E16D5F">
            <w:pPr>
              <w:jc w:val="both"/>
              <w:rPr>
                <w:rFonts w:ascii="Calibri" w:hAnsi="Calibri" w:cs="Calibri"/>
                <w:noProof/>
                <w:color w:val="000000"/>
                <w:sz w:val="16"/>
                <w:szCs w:val="16"/>
                <w:lang w:val="es-ES_tradnl" w:eastAsia="es-CO"/>
              </w:rPr>
            </w:pPr>
            <w:r w:rsidRPr="000D52ED">
              <w:rPr>
                <w:rFonts w:ascii="Calibri" w:hAnsi="Calibri" w:cs="Calibri"/>
                <w:noProof/>
                <w:color w:val="000000"/>
                <w:sz w:val="16"/>
                <w:szCs w:val="16"/>
                <w:lang w:val="es-ES_tradnl" w:eastAsia="es-CO"/>
              </w:rPr>
              <w:t> </w:t>
            </w:r>
          </w:p>
        </w:tc>
        <w:tc>
          <w:tcPr>
            <w:tcW w:w="165" w:type="dxa"/>
            <w:vAlign w:val="center"/>
            <w:hideMark/>
          </w:tcPr>
          <w:p w14:paraId="0F8CE28E" w14:textId="77777777" w:rsidR="000F0DCD" w:rsidRPr="000D52ED" w:rsidRDefault="000F0DCD" w:rsidP="00E16D5F">
            <w:pPr>
              <w:jc w:val="both"/>
              <w:rPr>
                <w:noProof/>
                <w:sz w:val="16"/>
                <w:szCs w:val="16"/>
                <w:lang w:val="es-ES_tradnl" w:eastAsia="es-CO"/>
              </w:rPr>
            </w:pPr>
          </w:p>
        </w:tc>
      </w:tr>
      <w:tr w:rsidR="000F0DCD" w:rsidRPr="00CA558D" w14:paraId="5B84EF6B" w14:textId="77777777" w:rsidTr="00BE7F20">
        <w:trPr>
          <w:trHeight w:val="60"/>
          <w:jc w:val="center"/>
        </w:trPr>
        <w:tc>
          <w:tcPr>
            <w:tcW w:w="4789" w:type="dxa"/>
            <w:gridSpan w:val="2"/>
            <w:vMerge/>
            <w:tcBorders>
              <w:top w:val="single" w:sz="4" w:space="0" w:color="auto"/>
              <w:left w:val="single" w:sz="8" w:space="0" w:color="auto"/>
              <w:bottom w:val="single" w:sz="4" w:space="0" w:color="000000"/>
              <w:right w:val="single" w:sz="8" w:space="0" w:color="000000"/>
            </w:tcBorders>
            <w:vAlign w:val="center"/>
            <w:hideMark/>
          </w:tcPr>
          <w:p w14:paraId="56F02631" w14:textId="77777777" w:rsidR="000F0DCD" w:rsidRPr="000D52ED" w:rsidRDefault="000F0DCD" w:rsidP="00E16D5F">
            <w:pPr>
              <w:jc w:val="both"/>
              <w:rPr>
                <w:rFonts w:ascii="Calibri" w:hAnsi="Calibri" w:cs="Calibri"/>
                <w:noProof/>
                <w:color w:val="000000"/>
                <w:sz w:val="16"/>
                <w:szCs w:val="16"/>
                <w:lang w:val="es-ES_tradnl" w:eastAsia="es-CO"/>
              </w:rPr>
            </w:pPr>
          </w:p>
        </w:tc>
        <w:tc>
          <w:tcPr>
            <w:tcW w:w="165" w:type="dxa"/>
            <w:tcBorders>
              <w:top w:val="nil"/>
              <w:left w:val="nil"/>
              <w:bottom w:val="nil"/>
              <w:right w:val="nil"/>
            </w:tcBorders>
            <w:shd w:val="clear" w:color="auto" w:fill="auto"/>
            <w:noWrap/>
            <w:vAlign w:val="bottom"/>
            <w:hideMark/>
          </w:tcPr>
          <w:p w14:paraId="55F60E06" w14:textId="77777777" w:rsidR="000F0DCD" w:rsidRPr="000D52ED" w:rsidRDefault="000F0DCD" w:rsidP="00E16D5F">
            <w:pPr>
              <w:jc w:val="both"/>
              <w:rPr>
                <w:rFonts w:ascii="Calibri" w:hAnsi="Calibri" w:cs="Calibri"/>
                <w:noProof/>
                <w:color w:val="000000"/>
                <w:sz w:val="16"/>
                <w:szCs w:val="16"/>
                <w:lang w:val="es-ES_tradnl" w:eastAsia="es-CO"/>
              </w:rPr>
            </w:pPr>
          </w:p>
        </w:tc>
      </w:tr>
      <w:tr w:rsidR="000F0DCD" w:rsidRPr="00CA558D" w14:paraId="4C003DDE" w14:textId="77777777" w:rsidTr="00BE7F20">
        <w:trPr>
          <w:trHeight w:val="296"/>
          <w:jc w:val="center"/>
        </w:trPr>
        <w:tc>
          <w:tcPr>
            <w:tcW w:w="1841" w:type="dxa"/>
            <w:tcBorders>
              <w:top w:val="nil"/>
              <w:left w:val="single" w:sz="8" w:space="0" w:color="auto"/>
              <w:bottom w:val="single" w:sz="8" w:space="0" w:color="auto"/>
              <w:right w:val="single" w:sz="4" w:space="0" w:color="auto"/>
            </w:tcBorders>
            <w:shd w:val="clear" w:color="auto" w:fill="auto"/>
            <w:noWrap/>
            <w:vAlign w:val="bottom"/>
            <w:hideMark/>
          </w:tcPr>
          <w:p w14:paraId="15E1C3A6" w14:textId="0DF72533" w:rsidR="000F0DCD" w:rsidRPr="000D52ED" w:rsidRDefault="00B42420" w:rsidP="00E16D5F">
            <w:pPr>
              <w:jc w:val="both"/>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 xml:space="preserve">Siete </w:t>
            </w:r>
            <w:r w:rsidR="000F0DCD" w:rsidRPr="000D52ED">
              <w:rPr>
                <w:rFonts w:ascii="Calibri" w:hAnsi="Calibri" w:cs="Calibri"/>
                <w:b/>
                <w:bCs/>
                <w:noProof/>
                <w:color w:val="000000"/>
                <w:sz w:val="16"/>
                <w:szCs w:val="16"/>
                <w:lang w:val="es-ES_tradnl" w:eastAsia="es-CO"/>
              </w:rPr>
              <w:t>(</w:t>
            </w:r>
            <w:r w:rsidRPr="000D52ED">
              <w:rPr>
                <w:rFonts w:ascii="Calibri" w:hAnsi="Calibri" w:cs="Calibri"/>
                <w:b/>
                <w:bCs/>
                <w:noProof/>
                <w:color w:val="000000"/>
                <w:sz w:val="16"/>
                <w:szCs w:val="16"/>
                <w:lang w:val="es-ES_tradnl" w:eastAsia="es-CO"/>
              </w:rPr>
              <w:t>7</w:t>
            </w:r>
            <w:r w:rsidR="000F0DCD" w:rsidRPr="000D52ED">
              <w:rPr>
                <w:rFonts w:ascii="Calibri" w:hAnsi="Calibri" w:cs="Calibri"/>
                <w:b/>
                <w:bCs/>
                <w:noProof/>
                <w:color w:val="000000"/>
                <w:sz w:val="16"/>
                <w:szCs w:val="16"/>
                <w:lang w:val="es-ES_tradnl" w:eastAsia="es-CO"/>
              </w:rPr>
              <w:t>) normas</w:t>
            </w:r>
          </w:p>
        </w:tc>
        <w:tc>
          <w:tcPr>
            <w:tcW w:w="2948" w:type="dxa"/>
            <w:tcBorders>
              <w:top w:val="nil"/>
              <w:left w:val="nil"/>
              <w:bottom w:val="single" w:sz="8" w:space="0" w:color="auto"/>
              <w:right w:val="single" w:sz="8" w:space="0" w:color="auto"/>
            </w:tcBorders>
            <w:shd w:val="clear" w:color="auto" w:fill="auto"/>
            <w:noWrap/>
            <w:vAlign w:val="bottom"/>
            <w:hideMark/>
          </w:tcPr>
          <w:p w14:paraId="111B80BD" w14:textId="77777777" w:rsidR="000F0DCD" w:rsidRPr="000D52ED" w:rsidRDefault="000F0DCD" w:rsidP="00E16D5F">
            <w:pPr>
              <w:jc w:val="both"/>
              <w:rPr>
                <w:rFonts w:ascii="Calibri" w:hAnsi="Calibri" w:cs="Calibri"/>
                <w:b/>
                <w:bCs/>
                <w:noProof/>
                <w:color w:val="000000"/>
                <w:sz w:val="16"/>
                <w:szCs w:val="16"/>
                <w:lang w:val="es-ES_tradnl" w:eastAsia="es-CO"/>
              </w:rPr>
            </w:pPr>
            <w:r w:rsidRPr="000D52ED">
              <w:rPr>
                <w:rFonts w:ascii="Calibri" w:hAnsi="Calibri" w:cs="Calibri"/>
                <w:b/>
                <w:bCs/>
                <w:noProof/>
                <w:color w:val="000000"/>
                <w:sz w:val="16"/>
                <w:szCs w:val="16"/>
                <w:lang w:val="es-ES_tradnl" w:eastAsia="es-CO"/>
              </w:rPr>
              <w:t>Objeto de modificación</w:t>
            </w:r>
          </w:p>
        </w:tc>
        <w:tc>
          <w:tcPr>
            <w:tcW w:w="165" w:type="dxa"/>
            <w:vAlign w:val="center"/>
            <w:hideMark/>
          </w:tcPr>
          <w:p w14:paraId="6726866F" w14:textId="77777777" w:rsidR="000F0DCD" w:rsidRPr="000D52ED" w:rsidRDefault="000F0DCD" w:rsidP="00E16D5F">
            <w:pPr>
              <w:jc w:val="both"/>
              <w:rPr>
                <w:noProof/>
                <w:sz w:val="16"/>
                <w:szCs w:val="16"/>
                <w:lang w:val="es-ES_tradnl" w:eastAsia="es-CO"/>
              </w:rPr>
            </w:pPr>
          </w:p>
        </w:tc>
      </w:tr>
    </w:tbl>
    <w:p w14:paraId="7FED39D0" w14:textId="77777777" w:rsidR="00EE3DF4" w:rsidRPr="000D52ED" w:rsidRDefault="00EE3DF4" w:rsidP="00E16D5F">
      <w:pPr>
        <w:jc w:val="both"/>
        <w:rPr>
          <w:noProof/>
          <w:lang w:val="es-ES_tradnl"/>
        </w:rPr>
      </w:pPr>
    </w:p>
    <w:sectPr w:rsidR="00EE3DF4" w:rsidRPr="000D52ED" w:rsidSect="004814B5">
      <w:pgSz w:w="11906" w:h="16838" w:code="9"/>
      <w:pgMar w:top="1729" w:right="1134" w:bottom="1440" w:left="179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2BC01" w14:textId="77777777" w:rsidR="003237C4" w:rsidRDefault="003237C4" w:rsidP="00C6554A">
      <w:r>
        <w:separator/>
      </w:r>
    </w:p>
  </w:endnote>
  <w:endnote w:type="continuationSeparator" w:id="0">
    <w:p w14:paraId="44744603" w14:textId="77777777" w:rsidR="003237C4" w:rsidRDefault="003237C4" w:rsidP="00C6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TXinwei">
    <w:panose1 w:val="02010800040101010101"/>
    <w:charset w:val="86"/>
    <w:family w:val="auto"/>
    <w:pitch w:val="variable"/>
    <w:sig w:usb0="00000001" w:usb1="080F0000" w:usb2="00000010" w:usb3="00000000" w:csb0="0004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97B4" w14:textId="77777777" w:rsidR="002163EE" w:rsidRDefault="00ED7C44">
    <w:pPr>
      <w:pStyle w:val="Piedepgina"/>
      <w:rPr>
        <w:noProof/>
      </w:rPr>
    </w:pPr>
    <w:r>
      <w:rPr>
        <w:noProof/>
        <w:lang w:bidi="es-ES"/>
      </w:rPr>
      <w:t xml:space="preserve">Página </w:t>
    </w:r>
    <w:r>
      <w:rPr>
        <w:noProof/>
        <w:lang w:bidi="es-ES"/>
      </w:rPr>
      <w:fldChar w:fldCharType="begin"/>
    </w:r>
    <w:r>
      <w:rPr>
        <w:noProof/>
        <w:lang w:bidi="es-ES"/>
      </w:rPr>
      <w:instrText xml:space="preserve"> PAGE  \* Arabic  \* MERGEFORMAT </w:instrText>
    </w:r>
    <w:r>
      <w:rPr>
        <w:noProof/>
        <w:lang w:bidi="es-ES"/>
      </w:rPr>
      <w:fldChar w:fldCharType="separate"/>
    </w:r>
    <w:r w:rsidR="0089714F">
      <w:rPr>
        <w:noProof/>
        <w:lang w:bidi="es-ES"/>
      </w:rPr>
      <w:t>1</w:t>
    </w:r>
    <w:r>
      <w:rPr>
        <w:noProof/>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812D0" w14:textId="77777777" w:rsidR="003237C4" w:rsidRDefault="003237C4" w:rsidP="00C6554A">
      <w:r>
        <w:separator/>
      </w:r>
    </w:p>
  </w:footnote>
  <w:footnote w:type="continuationSeparator" w:id="0">
    <w:p w14:paraId="6755E126" w14:textId="77777777" w:rsidR="003237C4" w:rsidRDefault="003237C4" w:rsidP="00C65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aconvietas"/>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3F7979"/>
    <w:multiLevelType w:val="hybridMultilevel"/>
    <w:tmpl w:val="E42643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BD791A"/>
    <w:multiLevelType w:val="hybridMultilevel"/>
    <w:tmpl w:val="D62015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050519"/>
    <w:multiLevelType w:val="hybridMultilevel"/>
    <w:tmpl w:val="E42643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E3C3697"/>
    <w:multiLevelType w:val="hybridMultilevel"/>
    <w:tmpl w:val="32A8A1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E3"/>
    <w:rsid w:val="000009A1"/>
    <w:rsid w:val="0000534C"/>
    <w:rsid w:val="00011974"/>
    <w:rsid w:val="00013CEE"/>
    <w:rsid w:val="00016398"/>
    <w:rsid w:val="0002257E"/>
    <w:rsid w:val="000273A7"/>
    <w:rsid w:val="00035045"/>
    <w:rsid w:val="00036594"/>
    <w:rsid w:val="00040170"/>
    <w:rsid w:val="00040456"/>
    <w:rsid w:val="000462F2"/>
    <w:rsid w:val="00047D30"/>
    <w:rsid w:val="00055A34"/>
    <w:rsid w:val="00060A8D"/>
    <w:rsid w:val="000717DC"/>
    <w:rsid w:val="000723F2"/>
    <w:rsid w:val="00076E8C"/>
    <w:rsid w:val="0008332F"/>
    <w:rsid w:val="00085660"/>
    <w:rsid w:val="0009328E"/>
    <w:rsid w:val="000935AB"/>
    <w:rsid w:val="00093DC3"/>
    <w:rsid w:val="00094B35"/>
    <w:rsid w:val="00097C88"/>
    <w:rsid w:val="000A1260"/>
    <w:rsid w:val="000A14BD"/>
    <w:rsid w:val="000A35BE"/>
    <w:rsid w:val="000A68DE"/>
    <w:rsid w:val="000A732D"/>
    <w:rsid w:val="000B182F"/>
    <w:rsid w:val="000B6A61"/>
    <w:rsid w:val="000B704D"/>
    <w:rsid w:val="000B744F"/>
    <w:rsid w:val="000B7499"/>
    <w:rsid w:val="000C164F"/>
    <w:rsid w:val="000C2254"/>
    <w:rsid w:val="000C343F"/>
    <w:rsid w:val="000C518D"/>
    <w:rsid w:val="000D1727"/>
    <w:rsid w:val="000D48C2"/>
    <w:rsid w:val="000D52ED"/>
    <w:rsid w:val="000E2560"/>
    <w:rsid w:val="000E4EA0"/>
    <w:rsid w:val="000E73C5"/>
    <w:rsid w:val="000F0DCD"/>
    <w:rsid w:val="000F2034"/>
    <w:rsid w:val="001017B1"/>
    <w:rsid w:val="001044F2"/>
    <w:rsid w:val="0010466F"/>
    <w:rsid w:val="00110116"/>
    <w:rsid w:val="00111394"/>
    <w:rsid w:val="001203E6"/>
    <w:rsid w:val="0012159B"/>
    <w:rsid w:val="00124646"/>
    <w:rsid w:val="00135EE3"/>
    <w:rsid w:val="001446E5"/>
    <w:rsid w:val="00145875"/>
    <w:rsid w:val="00145EF6"/>
    <w:rsid w:val="00146023"/>
    <w:rsid w:val="00146573"/>
    <w:rsid w:val="00150051"/>
    <w:rsid w:val="001508F7"/>
    <w:rsid w:val="001522EB"/>
    <w:rsid w:val="00153CBD"/>
    <w:rsid w:val="00154B8B"/>
    <w:rsid w:val="00156B0B"/>
    <w:rsid w:val="0016745B"/>
    <w:rsid w:val="001723E0"/>
    <w:rsid w:val="001731E2"/>
    <w:rsid w:val="0017481F"/>
    <w:rsid w:val="00175785"/>
    <w:rsid w:val="00176241"/>
    <w:rsid w:val="00177AED"/>
    <w:rsid w:val="00182A3D"/>
    <w:rsid w:val="0019164B"/>
    <w:rsid w:val="001919A0"/>
    <w:rsid w:val="0019486E"/>
    <w:rsid w:val="00195884"/>
    <w:rsid w:val="001A2094"/>
    <w:rsid w:val="001B2717"/>
    <w:rsid w:val="001B3FDF"/>
    <w:rsid w:val="001B57FE"/>
    <w:rsid w:val="001B793C"/>
    <w:rsid w:val="001C1328"/>
    <w:rsid w:val="001C2E5C"/>
    <w:rsid w:val="001C5071"/>
    <w:rsid w:val="001C548D"/>
    <w:rsid w:val="001D0125"/>
    <w:rsid w:val="001D03BC"/>
    <w:rsid w:val="001D03E5"/>
    <w:rsid w:val="001D45EF"/>
    <w:rsid w:val="001E030B"/>
    <w:rsid w:val="001E0DAD"/>
    <w:rsid w:val="001E4CBE"/>
    <w:rsid w:val="001E7299"/>
    <w:rsid w:val="001F3478"/>
    <w:rsid w:val="001F5655"/>
    <w:rsid w:val="001F5E85"/>
    <w:rsid w:val="001F5FE2"/>
    <w:rsid w:val="0020351A"/>
    <w:rsid w:val="002052D8"/>
    <w:rsid w:val="002115B4"/>
    <w:rsid w:val="00224D75"/>
    <w:rsid w:val="00225948"/>
    <w:rsid w:val="00225FB8"/>
    <w:rsid w:val="00232C1A"/>
    <w:rsid w:val="00240B5C"/>
    <w:rsid w:val="0024139E"/>
    <w:rsid w:val="00242797"/>
    <w:rsid w:val="0025059C"/>
    <w:rsid w:val="0025093D"/>
    <w:rsid w:val="002554CD"/>
    <w:rsid w:val="00262CE5"/>
    <w:rsid w:val="00262E07"/>
    <w:rsid w:val="00270063"/>
    <w:rsid w:val="00270C20"/>
    <w:rsid w:val="0027208F"/>
    <w:rsid w:val="0027268F"/>
    <w:rsid w:val="0027479A"/>
    <w:rsid w:val="002747C6"/>
    <w:rsid w:val="00282250"/>
    <w:rsid w:val="002846FE"/>
    <w:rsid w:val="00284BED"/>
    <w:rsid w:val="00293B83"/>
    <w:rsid w:val="00294335"/>
    <w:rsid w:val="002A71C8"/>
    <w:rsid w:val="002B1578"/>
    <w:rsid w:val="002B1E40"/>
    <w:rsid w:val="002B26F3"/>
    <w:rsid w:val="002B2BA0"/>
    <w:rsid w:val="002B38A4"/>
    <w:rsid w:val="002B4294"/>
    <w:rsid w:val="002C3081"/>
    <w:rsid w:val="002C4052"/>
    <w:rsid w:val="002C412A"/>
    <w:rsid w:val="002C6283"/>
    <w:rsid w:val="002D03A1"/>
    <w:rsid w:val="002E7F26"/>
    <w:rsid w:val="002F1426"/>
    <w:rsid w:val="003013AE"/>
    <w:rsid w:val="00302BFD"/>
    <w:rsid w:val="00305D13"/>
    <w:rsid w:val="00312AEC"/>
    <w:rsid w:val="00313C89"/>
    <w:rsid w:val="003162EE"/>
    <w:rsid w:val="00317FCF"/>
    <w:rsid w:val="0032056D"/>
    <w:rsid w:val="003237C4"/>
    <w:rsid w:val="003242C7"/>
    <w:rsid w:val="0032609A"/>
    <w:rsid w:val="00331575"/>
    <w:rsid w:val="00333718"/>
    <w:rsid w:val="00333D0D"/>
    <w:rsid w:val="00343E52"/>
    <w:rsid w:val="0034610C"/>
    <w:rsid w:val="003527D1"/>
    <w:rsid w:val="003532FD"/>
    <w:rsid w:val="00355D24"/>
    <w:rsid w:val="0036264C"/>
    <w:rsid w:val="00362D46"/>
    <w:rsid w:val="00366DAF"/>
    <w:rsid w:val="00366DE8"/>
    <w:rsid w:val="0036733E"/>
    <w:rsid w:val="00373CC3"/>
    <w:rsid w:val="003760F1"/>
    <w:rsid w:val="00384F5D"/>
    <w:rsid w:val="003856D9"/>
    <w:rsid w:val="00386694"/>
    <w:rsid w:val="00387285"/>
    <w:rsid w:val="00392828"/>
    <w:rsid w:val="0039533A"/>
    <w:rsid w:val="003A3A3B"/>
    <w:rsid w:val="003A5950"/>
    <w:rsid w:val="003B42CF"/>
    <w:rsid w:val="003B6D8A"/>
    <w:rsid w:val="003C1129"/>
    <w:rsid w:val="003C44C9"/>
    <w:rsid w:val="003C66F0"/>
    <w:rsid w:val="003C6C97"/>
    <w:rsid w:val="003D0DFE"/>
    <w:rsid w:val="003D1B81"/>
    <w:rsid w:val="003D555A"/>
    <w:rsid w:val="003D6E30"/>
    <w:rsid w:val="003E0D3B"/>
    <w:rsid w:val="003E61E1"/>
    <w:rsid w:val="003F0E87"/>
    <w:rsid w:val="003F3DB5"/>
    <w:rsid w:val="004017A3"/>
    <w:rsid w:val="00403201"/>
    <w:rsid w:val="00403F1D"/>
    <w:rsid w:val="00405CE0"/>
    <w:rsid w:val="004065E3"/>
    <w:rsid w:val="00416675"/>
    <w:rsid w:val="00420907"/>
    <w:rsid w:val="00420F36"/>
    <w:rsid w:val="00437639"/>
    <w:rsid w:val="004418BE"/>
    <w:rsid w:val="00445EE7"/>
    <w:rsid w:val="00446089"/>
    <w:rsid w:val="0044780C"/>
    <w:rsid w:val="004537D4"/>
    <w:rsid w:val="0046142F"/>
    <w:rsid w:val="0046220C"/>
    <w:rsid w:val="00464C33"/>
    <w:rsid w:val="004678C8"/>
    <w:rsid w:val="00476484"/>
    <w:rsid w:val="00480BF5"/>
    <w:rsid w:val="004814B5"/>
    <w:rsid w:val="00492E9C"/>
    <w:rsid w:val="004A0E42"/>
    <w:rsid w:val="004A318A"/>
    <w:rsid w:val="004A3AF6"/>
    <w:rsid w:val="004A7CA7"/>
    <w:rsid w:val="004B1FCC"/>
    <w:rsid w:val="004B39EB"/>
    <w:rsid w:val="004B551C"/>
    <w:rsid w:val="004C049F"/>
    <w:rsid w:val="004C7180"/>
    <w:rsid w:val="004D188B"/>
    <w:rsid w:val="004D683A"/>
    <w:rsid w:val="004D733D"/>
    <w:rsid w:val="004E014A"/>
    <w:rsid w:val="004E2E25"/>
    <w:rsid w:val="004E3163"/>
    <w:rsid w:val="004E4244"/>
    <w:rsid w:val="004E6222"/>
    <w:rsid w:val="004F2E4D"/>
    <w:rsid w:val="004F5366"/>
    <w:rsid w:val="005000E2"/>
    <w:rsid w:val="005057CF"/>
    <w:rsid w:val="0051785D"/>
    <w:rsid w:val="005333ED"/>
    <w:rsid w:val="0053542F"/>
    <w:rsid w:val="005374EF"/>
    <w:rsid w:val="00541DDB"/>
    <w:rsid w:val="005453D0"/>
    <w:rsid w:val="00546262"/>
    <w:rsid w:val="005552F4"/>
    <w:rsid w:val="00565D62"/>
    <w:rsid w:val="00567A04"/>
    <w:rsid w:val="00585AB0"/>
    <w:rsid w:val="00585B19"/>
    <w:rsid w:val="00594E83"/>
    <w:rsid w:val="005960B9"/>
    <w:rsid w:val="005968F8"/>
    <w:rsid w:val="00596AC5"/>
    <w:rsid w:val="00596FD1"/>
    <w:rsid w:val="005A0088"/>
    <w:rsid w:val="005A6DA2"/>
    <w:rsid w:val="005B0EDA"/>
    <w:rsid w:val="005B13B2"/>
    <w:rsid w:val="005B780A"/>
    <w:rsid w:val="005C249C"/>
    <w:rsid w:val="005C4976"/>
    <w:rsid w:val="005D2F97"/>
    <w:rsid w:val="005D63E2"/>
    <w:rsid w:val="005D78A0"/>
    <w:rsid w:val="005E17D5"/>
    <w:rsid w:val="005F3AAA"/>
    <w:rsid w:val="005F4F77"/>
    <w:rsid w:val="005F5111"/>
    <w:rsid w:val="005F5738"/>
    <w:rsid w:val="005F7A57"/>
    <w:rsid w:val="00603924"/>
    <w:rsid w:val="00610AB3"/>
    <w:rsid w:val="00632C59"/>
    <w:rsid w:val="00634E27"/>
    <w:rsid w:val="00634F3F"/>
    <w:rsid w:val="00635A47"/>
    <w:rsid w:val="00641218"/>
    <w:rsid w:val="006459F8"/>
    <w:rsid w:val="00653853"/>
    <w:rsid w:val="00656A32"/>
    <w:rsid w:val="00656CF5"/>
    <w:rsid w:val="006705BB"/>
    <w:rsid w:val="00672290"/>
    <w:rsid w:val="00675A3E"/>
    <w:rsid w:val="00683328"/>
    <w:rsid w:val="00683865"/>
    <w:rsid w:val="00686034"/>
    <w:rsid w:val="006864F2"/>
    <w:rsid w:val="00690C3F"/>
    <w:rsid w:val="00695B27"/>
    <w:rsid w:val="00697FEA"/>
    <w:rsid w:val="006A30DB"/>
    <w:rsid w:val="006A3143"/>
    <w:rsid w:val="006A3CE7"/>
    <w:rsid w:val="006B0134"/>
    <w:rsid w:val="006B28CF"/>
    <w:rsid w:val="006B4B40"/>
    <w:rsid w:val="006B651A"/>
    <w:rsid w:val="006C0348"/>
    <w:rsid w:val="006C0914"/>
    <w:rsid w:val="006C11FF"/>
    <w:rsid w:val="006C317E"/>
    <w:rsid w:val="006C39BC"/>
    <w:rsid w:val="006C46F3"/>
    <w:rsid w:val="006C61C3"/>
    <w:rsid w:val="006D1600"/>
    <w:rsid w:val="006D569F"/>
    <w:rsid w:val="006E053D"/>
    <w:rsid w:val="006E0F0B"/>
    <w:rsid w:val="006E6679"/>
    <w:rsid w:val="006F0521"/>
    <w:rsid w:val="00706DCC"/>
    <w:rsid w:val="0071176C"/>
    <w:rsid w:val="00713984"/>
    <w:rsid w:val="0071409A"/>
    <w:rsid w:val="00715578"/>
    <w:rsid w:val="0071725E"/>
    <w:rsid w:val="00725703"/>
    <w:rsid w:val="00725843"/>
    <w:rsid w:val="0072776B"/>
    <w:rsid w:val="00731B41"/>
    <w:rsid w:val="00731EE3"/>
    <w:rsid w:val="0073385D"/>
    <w:rsid w:val="0074206A"/>
    <w:rsid w:val="00751016"/>
    <w:rsid w:val="0075142E"/>
    <w:rsid w:val="00754987"/>
    <w:rsid w:val="00764736"/>
    <w:rsid w:val="00764946"/>
    <w:rsid w:val="00770568"/>
    <w:rsid w:val="007713F7"/>
    <w:rsid w:val="0078263A"/>
    <w:rsid w:val="0078711C"/>
    <w:rsid w:val="0079254B"/>
    <w:rsid w:val="007A526F"/>
    <w:rsid w:val="007C292D"/>
    <w:rsid w:val="007C4D97"/>
    <w:rsid w:val="007D4524"/>
    <w:rsid w:val="007D798F"/>
    <w:rsid w:val="007D7F57"/>
    <w:rsid w:val="007E46C4"/>
    <w:rsid w:val="007E603E"/>
    <w:rsid w:val="007E799E"/>
    <w:rsid w:val="007F13DD"/>
    <w:rsid w:val="007F1427"/>
    <w:rsid w:val="007F3154"/>
    <w:rsid w:val="0080030B"/>
    <w:rsid w:val="008015DB"/>
    <w:rsid w:val="008045EC"/>
    <w:rsid w:val="00805323"/>
    <w:rsid w:val="00810468"/>
    <w:rsid w:val="008130FC"/>
    <w:rsid w:val="0081710F"/>
    <w:rsid w:val="00820495"/>
    <w:rsid w:val="008236D2"/>
    <w:rsid w:val="008255EE"/>
    <w:rsid w:val="00831033"/>
    <w:rsid w:val="00831A2D"/>
    <w:rsid w:val="00834DA7"/>
    <w:rsid w:val="0083561D"/>
    <w:rsid w:val="00835663"/>
    <w:rsid w:val="0084097E"/>
    <w:rsid w:val="00840A85"/>
    <w:rsid w:val="00842669"/>
    <w:rsid w:val="008451F1"/>
    <w:rsid w:val="008632AA"/>
    <w:rsid w:val="008633DF"/>
    <w:rsid w:val="0087193F"/>
    <w:rsid w:val="0087234F"/>
    <w:rsid w:val="00873F2E"/>
    <w:rsid w:val="008742F7"/>
    <w:rsid w:val="0087570F"/>
    <w:rsid w:val="008778C8"/>
    <w:rsid w:val="00880C4F"/>
    <w:rsid w:val="008822FF"/>
    <w:rsid w:val="00886867"/>
    <w:rsid w:val="00886E26"/>
    <w:rsid w:val="00894A6A"/>
    <w:rsid w:val="0089714F"/>
    <w:rsid w:val="008A10BD"/>
    <w:rsid w:val="008A3A1F"/>
    <w:rsid w:val="008A3A24"/>
    <w:rsid w:val="008A6E4C"/>
    <w:rsid w:val="008A7EEC"/>
    <w:rsid w:val="008B2243"/>
    <w:rsid w:val="008B2878"/>
    <w:rsid w:val="008B72CD"/>
    <w:rsid w:val="008C1C80"/>
    <w:rsid w:val="008C21E9"/>
    <w:rsid w:val="008C2C4E"/>
    <w:rsid w:val="008D0F7C"/>
    <w:rsid w:val="008D57F3"/>
    <w:rsid w:val="008E24E7"/>
    <w:rsid w:val="008E3B46"/>
    <w:rsid w:val="008E6C74"/>
    <w:rsid w:val="008F38C1"/>
    <w:rsid w:val="008F6153"/>
    <w:rsid w:val="0090085B"/>
    <w:rsid w:val="00902588"/>
    <w:rsid w:val="00905ED2"/>
    <w:rsid w:val="00906AF1"/>
    <w:rsid w:val="00913602"/>
    <w:rsid w:val="009142C4"/>
    <w:rsid w:val="00920AD1"/>
    <w:rsid w:val="00932BE3"/>
    <w:rsid w:val="0093711C"/>
    <w:rsid w:val="00940A20"/>
    <w:rsid w:val="00944D93"/>
    <w:rsid w:val="009459CF"/>
    <w:rsid w:val="00964035"/>
    <w:rsid w:val="009679B1"/>
    <w:rsid w:val="00980793"/>
    <w:rsid w:val="00983A42"/>
    <w:rsid w:val="00985604"/>
    <w:rsid w:val="00986062"/>
    <w:rsid w:val="0098758F"/>
    <w:rsid w:val="00992983"/>
    <w:rsid w:val="009A2D7C"/>
    <w:rsid w:val="009B585C"/>
    <w:rsid w:val="009C24C6"/>
    <w:rsid w:val="009D1A75"/>
    <w:rsid w:val="009D689C"/>
    <w:rsid w:val="009E6AF6"/>
    <w:rsid w:val="009F0251"/>
    <w:rsid w:val="009F0D35"/>
    <w:rsid w:val="009F661B"/>
    <w:rsid w:val="009F7CF5"/>
    <w:rsid w:val="00A01987"/>
    <w:rsid w:val="00A04A95"/>
    <w:rsid w:val="00A04C9E"/>
    <w:rsid w:val="00A10F54"/>
    <w:rsid w:val="00A110B2"/>
    <w:rsid w:val="00A12181"/>
    <w:rsid w:val="00A15879"/>
    <w:rsid w:val="00A1746F"/>
    <w:rsid w:val="00A32921"/>
    <w:rsid w:val="00A44AA3"/>
    <w:rsid w:val="00A54B63"/>
    <w:rsid w:val="00A63D2D"/>
    <w:rsid w:val="00A76E46"/>
    <w:rsid w:val="00A85D3F"/>
    <w:rsid w:val="00A92AC1"/>
    <w:rsid w:val="00A97024"/>
    <w:rsid w:val="00A9787C"/>
    <w:rsid w:val="00AA4438"/>
    <w:rsid w:val="00AA633E"/>
    <w:rsid w:val="00AB14D2"/>
    <w:rsid w:val="00AB295C"/>
    <w:rsid w:val="00AC118A"/>
    <w:rsid w:val="00AC2306"/>
    <w:rsid w:val="00AC2808"/>
    <w:rsid w:val="00AC569F"/>
    <w:rsid w:val="00AC5CDD"/>
    <w:rsid w:val="00AD493E"/>
    <w:rsid w:val="00AD617B"/>
    <w:rsid w:val="00AD71C5"/>
    <w:rsid w:val="00AD7722"/>
    <w:rsid w:val="00AE04F7"/>
    <w:rsid w:val="00AE0B11"/>
    <w:rsid w:val="00AE3188"/>
    <w:rsid w:val="00AF1506"/>
    <w:rsid w:val="00AF1991"/>
    <w:rsid w:val="00AF6886"/>
    <w:rsid w:val="00AF7FA1"/>
    <w:rsid w:val="00B04381"/>
    <w:rsid w:val="00B04E8A"/>
    <w:rsid w:val="00B0549E"/>
    <w:rsid w:val="00B06455"/>
    <w:rsid w:val="00B07623"/>
    <w:rsid w:val="00B07D0F"/>
    <w:rsid w:val="00B07D20"/>
    <w:rsid w:val="00B118DF"/>
    <w:rsid w:val="00B12B14"/>
    <w:rsid w:val="00B1481A"/>
    <w:rsid w:val="00B161D1"/>
    <w:rsid w:val="00B22E52"/>
    <w:rsid w:val="00B32979"/>
    <w:rsid w:val="00B42420"/>
    <w:rsid w:val="00B5255C"/>
    <w:rsid w:val="00B52BB6"/>
    <w:rsid w:val="00B542C5"/>
    <w:rsid w:val="00B57C34"/>
    <w:rsid w:val="00B64410"/>
    <w:rsid w:val="00B65193"/>
    <w:rsid w:val="00B706BE"/>
    <w:rsid w:val="00B70889"/>
    <w:rsid w:val="00B71122"/>
    <w:rsid w:val="00B71929"/>
    <w:rsid w:val="00B72E5F"/>
    <w:rsid w:val="00B77282"/>
    <w:rsid w:val="00B80A79"/>
    <w:rsid w:val="00B81ACF"/>
    <w:rsid w:val="00B845F7"/>
    <w:rsid w:val="00B86039"/>
    <w:rsid w:val="00B935BE"/>
    <w:rsid w:val="00B94AEE"/>
    <w:rsid w:val="00BA00F0"/>
    <w:rsid w:val="00BA08B1"/>
    <w:rsid w:val="00BA1E60"/>
    <w:rsid w:val="00BA20FD"/>
    <w:rsid w:val="00BA5B61"/>
    <w:rsid w:val="00BA6E3C"/>
    <w:rsid w:val="00BA72A5"/>
    <w:rsid w:val="00BB004A"/>
    <w:rsid w:val="00BB0D4B"/>
    <w:rsid w:val="00BB0F30"/>
    <w:rsid w:val="00BB1266"/>
    <w:rsid w:val="00BB1D21"/>
    <w:rsid w:val="00BB5175"/>
    <w:rsid w:val="00BB601E"/>
    <w:rsid w:val="00BD0087"/>
    <w:rsid w:val="00BE2EC1"/>
    <w:rsid w:val="00BE3E9F"/>
    <w:rsid w:val="00BE5F80"/>
    <w:rsid w:val="00BE7F20"/>
    <w:rsid w:val="00BF4E5B"/>
    <w:rsid w:val="00C04955"/>
    <w:rsid w:val="00C154FE"/>
    <w:rsid w:val="00C325DD"/>
    <w:rsid w:val="00C40EA6"/>
    <w:rsid w:val="00C42782"/>
    <w:rsid w:val="00C51B55"/>
    <w:rsid w:val="00C51EC2"/>
    <w:rsid w:val="00C553A0"/>
    <w:rsid w:val="00C64993"/>
    <w:rsid w:val="00C65012"/>
    <w:rsid w:val="00C6554A"/>
    <w:rsid w:val="00C67AF3"/>
    <w:rsid w:val="00C84187"/>
    <w:rsid w:val="00C84772"/>
    <w:rsid w:val="00C91F34"/>
    <w:rsid w:val="00C93167"/>
    <w:rsid w:val="00C93F26"/>
    <w:rsid w:val="00C97AA1"/>
    <w:rsid w:val="00CA1FEB"/>
    <w:rsid w:val="00CA29B1"/>
    <w:rsid w:val="00CA4CC4"/>
    <w:rsid w:val="00CA558D"/>
    <w:rsid w:val="00CA68AA"/>
    <w:rsid w:val="00CA6CE2"/>
    <w:rsid w:val="00CA77EE"/>
    <w:rsid w:val="00CB0705"/>
    <w:rsid w:val="00CB59D1"/>
    <w:rsid w:val="00CC11AC"/>
    <w:rsid w:val="00CC12D6"/>
    <w:rsid w:val="00CC58BB"/>
    <w:rsid w:val="00CD0B8C"/>
    <w:rsid w:val="00CD2055"/>
    <w:rsid w:val="00CD434E"/>
    <w:rsid w:val="00CD5987"/>
    <w:rsid w:val="00CE02E5"/>
    <w:rsid w:val="00CE23B5"/>
    <w:rsid w:val="00D0449C"/>
    <w:rsid w:val="00D049A5"/>
    <w:rsid w:val="00D13D3A"/>
    <w:rsid w:val="00D15B33"/>
    <w:rsid w:val="00D17D57"/>
    <w:rsid w:val="00D202CF"/>
    <w:rsid w:val="00D26722"/>
    <w:rsid w:val="00D26929"/>
    <w:rsid w:val="00D26AFE"/>
    <w:rsid w:val="00D31044"/>
    <w:rsid w:val="00D332CD"/>
    <w:rsid w:val="00D348DF"/>
    <w:rsid w:val="00D533E1"/>
    <w:rsid w:val="00D533F3"/>
    <w:rsid w:val="00D547FA"/>
    <w:rsid w:val="00D5506C"/>
    <w:rsid w:val="00D552FA"/>
    <w:rsid w:val="00D57083"/>
    <w:rsid w:val="00D61BEB"/>
    <w:rsid w:val="00D65BF0"/>
    <w:rsid w:val="00D71473"/>
    <w:rsid w:val="00D7416C"/>
    <w:rsid w:val="00D83D31"/>
    <w:rsid w:val="00D83E2A"/>
    <w:rsid w:val="00D96327"/>
    <w:rsid w:val="00D96C6E"/>
    <w:rsid w:val="00D96D3D"/>
    <w:rsid w:val="00DA0E97"/>
    <w:rsid w:val="00DA0F10"/>
    <w:rsid w:val="00DA1B74"/>
    <w:rsid w:val="00DA1DCC"/>
    <w:rsid w:val="00DA3F70"/>
    <w:rsid w:val="00DB007D"/>
    <w:rsid w:val="00DB2FE3"/>
    <w:rsid w:val="00DB7067"/>
    <w:rsid w:val="00DC02DE"/>
    <w:rsid w:val="00DC31C5"/>
    <w:rsid w:val="00DC6A4F"/>
    <w:rsid w:val="00DC6FF0"/>
    <w:rsid w:val="00DC750A"/>
    <w:rsid w:val="00DD3B30"/>
    <w:rsid w:val="00DD4F98"/>
    <w:rsid w:val="00DD51E5"/>
    <w:rsid w:val="00DD5ADF"/>
    <w:rsid w:val="00DD7E08"/>
    <w:rsid w:val="00DE06BB"/>
    <w:rsid w:val="00DE1062"/>
    <w:rsid w:val="00DE3A85"/>
    <w:rsid w:val="00DF08DE"/>
    <w:rsid w:val="00DF1AFD"/>
    <w:rsid w:val="00DF4099"/>
    <w:rsid w:val="00DF4F58"/>
    <w:rsid w:val="00DF63A1"/>
    <w:rsid w:val="00E04701"/>
    <w:rsid w:val="00E127A7"/>
    <w:rsid w:val="00E16D5F"/>
    <w:rsid w:val="00E24FD4"/>
    <w:rsid w:val="00E34DD0"/>
    <w:rsid w:val="00E35B4E"/>
    <w:rsid w:val="00E37317"/>
    <w:rsid w:val="00E40D79"/>
    <w:rsid w:val="00E40EEF"/>
    <w:rsid w:val="00E433E4"/>
    <w:rsid w:val="00E4687F"/>
    <w:rsid w:val="00E525AA"/>
    <w:rsid w:val="00E62471"/>
    <w:rsid w:val="00E67A93"/>
    <w:rsid w:val="00E70BCB"/>
    <w:rsid w:val="00E71BE7"/>
    <w:rsid w:val="00E72D46"/>
    <w:rsid w:val="00E72D4E"/>
    <w:rsid w:val="00E73CD0"/>
    <w:rsid w:val="00E7545B"/>
    <w:rsid w:val="00E821F6"/>
    <w:rsid w:val="00E82B24"/>
    <w:rsid w:val="00E8796E"/>
    <w:rsid w:val="00E87A5C"/>
    <w:rsid w:val="00E90411"/>
    <w:rsid w:val="00E92FAF"/>
    <w:rsid w:val="00E93A5B"/>
    <w:rsid w:val="00E9439B"/>
    <w:rsid w:val="00E9604B"/>
    <w:rsid w:val="00EA627F"/>
    <w:rsid w:val="00EA7A04"/>
    <w:rsid w:val="00EB5815"/>
    <w:rsid w:val="00EC0519"/>
    <w:rsid w:val="00EC1C47"/>
    <w:rsid w:val="00EC4FA4"/>
    <w:rsid w:val="00EC507A"/>
    <w:rsid w:val="00EC7197"/>
    <w:rsid w:val="00ED1BCA"/>
    <w:rsid w:val="00ED2815"/>
    <w:rsid w:val="00ED28ED"/>
    <w:rsid w:val="00ED5EEE"/>
    <w:rsid w:val="00ED6F3E"/>
    <w:rsid w:val="00ED7C44"/>
    <w:rsid w:val="00EE254F"/>
    <w:rsid w:val="00EE3DF4"/>
    <w:rsid w:val="00EF012E"/>
    <w:rsid w:val="00EF2947"/>
    <w:rsid w:val="00EF4CFE"/>
    <w:rsid w:val="00EF638B"/>
    <w:rsid w:val="00F034B7"/>
    <w:rsid w:val="00F1157B"/>
    <w:rsid w:val="00F11621"/>
    <w:rsid w:val="00F125AF"/>
    <w:rsid w:val="00F1532E"/>
    <w:rsid w:val="00F15625"/>
    <w:rsid w:val="00F27201"/>
    <w:rsid w:val="00F27773"/>
    <w:rsid w:val="00F30D64"/>
    <w:rsid w:val="00F316B1"/>
    <w:rsid w:val="00F33F16"/>
    <w:rsid w:val="00F34D1E"/>
    <w:rsid w:val="00F36D19"/>
    <w:rsid w:val="00F4144B"/>
    <w:rsid w:val="00F43DDB"/>
    <w:rsid w:val="00F44C5B"/>
    <w:rsid w:val="00F5111C"/>
    <w:rsid w:val="00F512BD"/>
    <w:rsid w:val="00F53204"/>
    <w:rsid w:val="00F5322A"/>
    <w:rsid w:val="00F56A20"/>
    <w:rsid w:val="00F62963"/>
    <w:rsid w:val="00F64EDD"/>
    <w:rsid w:val="00F72821"/>
    <w:rsid w:val="00F72A3E"/>
    <w:rsid w:val="00F77993"/>
    <w:rsid w:val="00F860AF"/>
    <w:rsid w:val="00FA54EE"/>
    <w:rsid w:val="00FA64D8"/>
    <w:rsid w:val="00FB10FB"/>
    <w:rsid w:val="00FB6E0C"/>
    <w:rsid w:val="00FC01C4"/>
    <w:rsid w:val="00FC6F9C"/>
    <w:rsid w:val="00FC7768"/>
    <w:rsid w:val="00FE6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09B24"/>
  <w15:chartTrackingRefBased/>
  <w15:docId w15:val="{EB2ECF80-045B-4E1F-9105-26399755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s-E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76"/>
    <w:pPr>
      <w:spacing w:before="0" w:after="0" w:line="240" w:lineRule="auto"/>
    </w:pPr>
    <w:rPr>
      <w:rFonts w:ascii="Times New Roman" w:eastAsia="Times New Roman" w:hAnsi="Times New Roman" w:cs="Times New Roman"/>
      <w:color w:val="auto"/>
      <w:sz w:val="24"/>
      <w:szCs w:val="24"/>
      <w:lang w:val="es-CO" w:eastAsia="es-ES_tradnl"/>
    </w:rPr>
  </w:style>
  <w:style w:type="paragraph" w:styleId="Ttulo1">
    <w:name w:val="heading 1"/>
    <w:basedOn w:val="Normal"/>
    <w:next w:val="Normal"/>
    <w:link w:val="Ttulo1Car"/>
    <w:uiPriority w:val="9"/>
    <w:qFormat/>
    <w:rsid w:val="00333D0D"/>
    <w:pPr>
      <w:keepNext/>
      <w:keepLines/>
      <w:spacing w:before="600" w:after="60" w:line="264" w:lineRule="auto"/>
      <w:contextualSpacing/>
      <w:outlineLvl w:val="0"/>
    </w:pPr>
    <w:rPr>
      <w:rFonts w:asciiTheme="majorHAnsi" w:eastAsiaTheme="majorEastAsia" w:hAnsiTheme="majorHAnsi" w:cstheme="majorBidi"/>
      <w:color w:val="007789" w:themeColor="accent1" w:themeShade="BF"/>
      <w:sz w:val="32"/>
      <w:szCs w:val="22"/>
      <w:lang w:val="es-ES" w:eastAsia="en-US"/>
    </w:rPr>
  </w:style>
  <w:style w:type="paragraph" w:styleId="Ttulo2">
    <w:name w:val="heading 2"/>
    <w:basedOn w:val="Normal"/>
    <w:next w:val="Normal"/>
    <w:link w:val="Ttulo2Car"/>
    <w:uiPriority w:val="9"/>
    <w:unhideWhenUsed/>
    <w:qFormat/>
    <w:rsid w:val="00333D0D"/>
    <w:pPr>
      <w:keepNext/>
      <w:keepLines/>
      <w:spacing w:before="240" w:line="264" w:lineRule="auto"/>
      <w:contextualSpacing/>
      <w:outlineLvl w:val="1"/>
    </w:pPr>
    <w:rPr>
      <w:rFonts w:asciiTheme="majorHAnsi" w:eastAsiaTheme="majorEastAsia" w:hAnsiTheme="majorHAnsi" w:cstheme="majorBidi"/>
      <w:caps/>
      <w:color w:val="007789" w:themeColor="accent1" w:themeShade="BF"/>
      <w:szCs w:val="22"/>
      <w:lang w:val="es-ES" w:eastAsia="en-US"/>
    </w:rPr>
  </w:style>
  <w:style w:type="paragraph" w:styleId="Ttulo3">
    <w:name w:val="heading 3"/>
    <w:basedOn w:val="Normal"/>
    <w:next w:val="Normal"/>
    <w:link w:val="Ttulo3Car"/>
    <w:uiPriority w:val="9"/>
    <w:semiHidden/>
    <w:unhideWhenUsed/>
    <w:qFormat/>
    <w:rsid w:val="002554CD"/>
    <w:pPr>
      <w:keepNext/>
      <w:keepLines/>
      <w:spacing w:before="40" w:line="264" w:lineRule="auto"/>
      <w:outlineLvl w:val="2"/>
    </w:pPr>
    <w:rPr>
      <w:rFonts w:asciiTheme="majorHAnsi" w:eastAsiaTheme="majorEastAsia" w:hAnsiTheme="majorHAnsi" w:cstheme="majorBidi"/>
      <w:color w:val="004F5B" w:themeColor="accent1" w:themeShade="7F"/>
      <w:lang w:val="es-ES" w:eastAsia="en-US"/>
    </w:rPr>
  </w:style>
  <w:style w:type="paragraph" w:styleId="Ttulo6">
    <w:name w:val="heading 6"/>
    <w:basedOn w:val="Normal"/>
    <w:next w:val="Normal"/>
    <w:link w:val="Ttulo6Car"/>
    <w:uiPriority w:val="9"/>
    <w:semiHidden/>
    <w:unhideWhenUsed/>
    <w:qFormat/>
    <w:rsid w:val="002554CD"/>
    <w:pPr>
      <w:keepNext/>
      <w:keepLines/>
      <w:spacing w:before="40"/>
      <w:outlineLvl w:val="5"/>
    </w:pPr>
    <w:rPr>
      <w:rFonts w:asciiTheme="majorHAnsi" w:eastAsiaTheme="majorEastAsia" w:hAnsiTheme="majorHAnsi" w:cstheme="majorBidi"/>
      <w:color w:val="004F5B" w:themeColor="accent1" w:themeShade="7F"/>
    </w:rPr>
  </w:style>
  <w:style w:type="paragraph" w:styleId="Ttulo7">
    <w:name w:val="heading 7"/>
    <w:basedOn w:val="Normal"/>
    <w:next w:val="Normal"/>
    <w:link w:val="Ttulo7Car"/>
    <w:uiPriority w:val="9"/>
    <w:semiHidden/>
    <w:unhideWhenUsed/>
    <w:qFormat/>
    <w:rsid w:val="002554CD"/>
    <w:pPr>
      <w:keepNext/>
      <w:keepLines/>
      <w:spacing w:before="40"/>
      <w:outlineLvl w:val="6"/>
    </w:pPr>
    <w:rPr>
      <w:rFonts w:asciiTheme="majorHAnsi" w:eastAsiaTheme="majorEastAsia" w:hAnsiTheme="majorHAnsi" w:cstheme="majorBidi"/>
      <w:i/>
      <w:iCs/>
      <w:color w:val="004F5B" w:themeColor="accent1" w:themeShade="7F"/>
    </w:rPr>
  </w:style>
  <w:style w:type="paragraph" w:styleId="Ttulo8">
    <w:name w:val="heading 8"/>
    <w:basedOn w:val="Normal"/>
    <w:next w:val="Normal"/>
    <w:link w:val="Ttulo8Car"/>
    <w:uiPriority w:val="9"/>
    <w:semiHidden/>
    <w:unhideWhenUsed/>
    <w:qFormat/>
    <w:rsid w:val="002554CD"/>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2554C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3D0D"/>
    <w:rPr>
      <w:rFonts w:asciiTheme="majorHAnsi" w:eastAsiaTheme="majorEastAsia" w:hAnsiTheme="majorHAnsi" w:cstheme="majorBidi"/>
      <w:color w:val="007789" w:themeColor="accent1" w:themeShade="BF"/>
      <w:sz w:val="32"/>
    </w:rPr>
  </w:style>
  <w:style w:type="character" w:customStyle="1" w:styleId="Ttulo2Car">
    <w:name w:val="Título 2 Car"/>
    <w:basedOn w:val="Fuentedeprrafopredeter"/>
    <w:link w:val="Ttulo2"/>
    <w:uiPriority w:val="9"/>
    <w:rsid w:val="00333D0D"/>
    <w:rPr>
      <w:rFonts w:asciiTheme="majorHAnsi" w:eastAsiaTheme="majorEastAsia" w:hAnsiTheme="majorHAnsi" w:cstheme="majorBidi"/>
      <w:caps/>
      <w:color w:val="007789" w:themeColor="accent1" w:themeShade="BF"/>
      <w:sz w:val="24"/>
    </w:rPr>
  </w:style>
  <w:style w:type="paragraph" w:customStyle="1" w:styleId="Informacindecontacto">
    <w:name w:val="Información de contacto"/>
    <w:basedOn w:val="Normal"/>
    <w:uiPriority w:val="4"/>
    <w:qFormat/>
    <w:rsid w:val="00C6554A"/>
    <w:pPr>
      <w:spacing w:line="264" w:lineRule="auto"/>
      <w:jc w:val="center"/>
    </w:pPr>
    <w:rPr>
      <w:rFonts w:asciiTheme="minorHAnsi" w:eastAsiaTheme="minorHAnsi" w:hAnsiTheme="minorHAnsi" w:cstheme="minorBidi"/>
      <w:color w:val="595959" w:themeColor="text1" w:themeTint="A6"/>
      <w:sz w:val="22"/>
      <w:szCs w:val="22"/>
      <w:lang w:val="es-ES" w:eastAsia="en-US"/>
    </w:rPr>
  </w:style>
  <w:style w:type="paragraph" w:styleId="Listaconvietas">
    <w:name w:val="List Bullet"/>
    <w:basedOn w:val="Normal"/>
    <w:uiPriority w:val="10"/>
    <w:unhideWhenUsed/>
    <w:qFormat/>
    <w:rsid w:val="00C6554A"/>
    <w:pPr>
      <w:numPr>
        <w:numId w:val="4"/>
      </w:numPr>
      <w:spacing w:before="120" w:after="200" w:line="264" w:lineRule="auto"/>
    </w:pPr>
    <w:rPr>
      <w:rFonts w:asciiTheme="minorHAnsi" w:eastAsiaTheme="minorHAnsi" w:hAnsiTheme="minorHAnsi" w:cstheme="minorBidi"/>
      <w:color w:val="595959" w:themeColor="text1" w:themeTint="A6"/>
      <w:sz w:val="22"/>
      <w:szCs w:val="22"/>
      <w:lang w:val="es-ES" w:eastAsia="en-US"/>
    </w:rPr>
  </w:style>
  <w:style w:type="paragraph" w:styleId="Ttulo">
    <w:name w:val="Title"/>
    <w:basedOn w:val="Normal"/>
    <w:link w:val="TtuloCar"/>
    <w:uiPriority w:val="2"/>
    <w:unhideWhenUsed/>
    <w:qFormat/>
    <w:rsid w:val="00333D0D"/>
    <w:pPr>
      <w:spacing w:before="480" w:after="40"/>
      <w:contextualSpacing/>
      <w:jc w:val="center"/>
    </w:pPr>
    <w:rPr>
      <w:rFonts w:asciiTheme="majorHAnsi" w:eastAsiaTheme="majorEastAsia" w:hAnsiTheme="majorHAnsi" w:cstheme="majorBidi"/>
      <w:color w:val="007789" w:themeColor="accent1" w:themeShade="BF"/>
      <w:kern w:val="28"/>
      <w:sz w:val="60"/>
      <w:szCs w:val="22"/>
      <w:lang w:val="es-ES" w:eastAsia="en-US"/>
    </w:rPr>
  </w:style>
  <w:style w:type="character" w:customStyle="1" w:styleId="TtuloCar">
    <w:name w:val="Título Car"/>
    <w:basedOn w:val="Fuentedeprrafopredeter"/>
    <w:link w:val="Ttulo"/>
    <w:uiPriority w:val="2"/>
    <w:rsid w:val="00333D0D"/>
    <w:rPr>
      <w:rFonts w:asciiTheme="majorHAnsi" w:eastAsiaTheme="majorEastAsia" w:hAnsiTheme="majorHAnsi" w:cstheme="majorBidi"/>
      <w:color w:val="007789" w:themeColor="accent1" w:themeShade="BF"/>
      <w:kern w:val="28"/>
      <w:sz w:val="60"/>
    </w:rPr>
  </w:style>
  <w:style w:type="paragraph" w:styleId="Subttulo">
    <w:name w:val="Subtitle"/>
    <w:basedOn w:val="Normal"/>
    <w:link w:val="SubttuloCar"/>
    <w:uiPriority w:val="3"/>
    <w:unhideWhenUsed/>
    <w:qFormat/>
    <w:rsid w:val="00333D0D"/>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szCs w:val="22"/>
      <w:lang w:val="es-ES" w:eastAsia="en-US"/>
    </w:rPr>
  </w:style>
  <w:style w:type="character" w:customStyle="1" w:styleId="SubttuloCar">
    <w:name w:val="Subtítulo Car"/>
    <w:basedOn w:val="Fuentedeprrafopredeter"/>
    <w:link w:val="Subttulo"/>
    <w:uiPriority w:val="3"/>
    <w:rsid w:val="00333D0D"/>
    <w:rPr>
      <w:rFonts w:asciiTheme="majorHAnsi" w:eastAsiaTheme="majorEastAsia" w:hAnsiTheme="majorHAnsi" w:cstheme="majorBidi"/>
      <w:caps/>
      <w:sz w:val="26"/>
    </w:rPr>
  </w:style>
  <w:style w:type="paragraph" w:styleId="Piedepgina">
    <w:name w:val="footer"/>
    <w:basedOn w:val="Normal"/>
    <w:link w:val="PiedepginaCar"/>
    <w:uiPriority w:val="99"/>
    <w:unhideWhenUsed/>
    <w:rsid w:val="00C6554A"/>
    <w:pPr>
      <w:jc w:val="right"/>
    </w:pPr>
    <w:rPr>
      <w:rFonts w:asciiTheme="minorHAnsi" w:eastAsiaTheme="minorHAnsi" w:hAnsiTheme="minorHAnsi" w:cstheme="minorBidi"/>
      <w:caps/>
      <w:color w:val="595959" w:themeColor="text1" w:themeTint="A6"/>
      <w:sz w:val="22"/>
      <w:szCs w:val="22"/>
      <w:lang w:val="es-ES" w:eastAsia="en-US"/>
    </w:rPr>
  </w:style>
  <w:style w:type="character" w:customStyle="1" w:styleId="PiedepginaCar">
    <w:name w:val="Pie de página Car"/>
    <w:basedOn w:val="Fuentedeprrafopredeter"/>
    <w:link w:val="Piedepgina"/>
    <w:uiPriority w:val="99"/>
    <w:rsid w:val="00C6554A"/>
    <w:rPr>
      <w:caps/>
    </w:rPr>
  </w:style>
  <w:style w:type="paragraph" w:customStyle="1" w:styleId="Foto">
    <w:name w:val="Foto"/>
    <w:basedOn w:val="Normal"/>
    <w:uiPriority w:val="1"/>
    <w:qFormat/>
    <w:rsid w:val="00C6554A"/>
    <w:pPr>
      <w:jc w:val="center"/>
    </w:pPr>
    <w:rPr>
      <w:rFonts w:asciiTheme="minorHAnsi" w:eastAsiaTheme="minorHAnsi" w:hAnsiTheme="minorHAnsi" w:cstheme="minorBidi"/>
      <w:color w:val="595959" w:themeColor="text1" w:themeTint="A6"/>
      <w:sz w:val="22"/>
      <w:szCs w:val="22"/>
      <w:lang w:val="es-ES" w:eastAsia="en-US"/>
    </w:rPr>
  </w:style>
  <w:style w:type="paragraph" w:styleId="Encabezado">
    <w:name w:val="header"/>
    <w:basedOn w:val="Normal"/>
    <w:link w:val="EncabezadoCar"/>
    <w:uiPriority w:val="99"/>
    <w:unhideWhenUsed/>
    <w:rsid w:val="00C6554A"/>
    <w:rPr>
      <w:rFonts w:asciiTheme="minorHAnsi" w:eastAsiaTheme="minorHAnsi" w:hAnsiTheme="minorHAnsi" w:cstheme="minorBidi"/>
      <w:color w:val="595959" w:themeColor="text1" w:themeTint="A6"/>
      <w:sz w:val="22"/>
      <w:szCs w:val="22"/>
      <w:lang w:val="es-ES" w:eastAsia="en-US"/>
    </w:rPr>
  </w:style>
  <w:style w:type="character" w:customStyle="1" w:styleId="EncabezadoCar">
    <w:name w:val="Encabezado Car"/>
    <w:basedOn w:val="Fuentedeprrafopredeter"/>
    <w:link w:val="Encabezado"/>
    <w:uiPriority w:val="99"/>
    <w:rsid w:val="00C6554A"/>
    <w:rPr>
      <w:color w:val="595959" w:themeColor="text1" w:themeTint="A6"/>
      <w:sz w:val="20"/>
      <w:szCs w:val="20"/>
      <w:lang w:eastAsia="ja-JP"/>
    </w:rPr>
  </w:style>
  <w:style w:type="paragraph" w:styleId="Listaconnmeros">
    <w:name w:val="List Number"/>
    <w:basedOn w:val="Normal"/>
    <w:uiPriority w:val="11"/>
    <w:unhideWhenUsed/>
    <w:qFormat/>
    <w:rsid w:val="00C6554A"/>
    <w:pPr>
      <w:numPr>
        <w:numId w:val="3"/>
      </w:numPr>
      <w:spacing w:before="120" w:after="200" w:line="264" w:lineRule="auto"/>
      <w:contextualSpacing/>
    </w:pPr>
    <w:rPr>
      <w:rFonts w:asciiTheme="minorHAnsi" w:eastAsiaTheme="minorHAnsi" w:hAnsiTheme="minorHAnsi" w:cstheme="minorBidi"/>
      <w:color w:val="595959" w:themeColor="text1" w:themeTint="A6"/>
      <w:sz w:val="22"/>
      <w:szCs w:val="22"/>
      <w:lang w:val="es-ES" w:eastAsia="en-US"/>
    </w:rPr>
  </w:style>
  <w:style w:type="character" w:customStyle="1" w:styleId="Ttulo3Car">
    <w:name w:val="Título 3 Car"/>
    <w:basedOn w:val="Fuentedeprrafopredeter"/>
    <w:link w:val="Ttulo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Ttulo8Car">
    <w:name w:val="Título 8 Car"/>
    <w:basedOn w:val="Fuentedeprrafopredeter"/>
    <w:link w:val="Ttulo8"/>
    <w:uiPriority w:val="9"/>
    <w:semiHidden/>
    <w:rsid w:val="00C6554A"/>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C6554A"/>
    <w:rPr>
      <w:rFonts w:asciiTheme="majorHAnsi" w:eastAsiaTheme="majorEastAsia" w:hAnsiTheme="majorHAnsi" w:cstheme="majorBidi"/>
      <w:i/>
      <w:iCs/>
      <w:color w:val="272727" w:themeColor="text1" w:themeTint="D8"/>
      <w:szCs w:val="21"/>
    </w:rPr>
  </w:style>
  <w:style w:type="character" w:styleId="nfasisintenso">
    <w:name w:val="Intense Emphasis"/>
    <w:basedOn w:val="Fuentedeprrafopredeter"/>
    <w:uiPriority w:val="21"/>
    <w:semiHidden/>
    <w:unhideWhenUsed/>
    <w:qFormat/>
    <w:rsid w:val="00C6554A"/>
    <w:rPr>
      <w:i/>
      <w:iCs/>
      <w:color w:val="007789" w:themeColor="accent1" w:themeShade="BF"/>
    </w:rPr>
  </w:style>
  <w:style w:type="paragraph" w:styleId="Citadestacada">
    <w:name w:val="Intense Quote"/>
    <w:basedOn w:val="Normal"/>
    <w:next w:val="Normal"/>
    <w:link w:val="CitadestacadaC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CitadestacadaCar">
    <w:name w:val="Cita destacada Car"/>
    <w:basedOn w:val="Fuentedeprrafopredeter"/>
    <w:link w:val="Citadestacada"/>
    <w:uiPriority w:val="30"/>
    <w:semiHidden/>
    <w:rsid w:val="00C6554A"/>
    <w:rPr>
      <w:i/>
      <w:iCs/>
      <w:color w:val="007789" w:themeColor="accent1" w:themeShade="BF"/>
    </w:rPr>
  </w:style>
  <w:style w:type="character" w:styleId="Referenciaintensa">
    <w:name w:val="Intense Reference"/>
    <w:basedOn w:val="Fuentedeprrafopredeter"/>
    <w:uiPriority w:val="32"/>
    <w:semiHidden/>
    <w:unhideWhenUsed/>
    <w:qFormat/>
    <w:rsid w:val="00C6554A"/>
    <w:rPr>
      <w:b/>
      <w:bCs/>
      <w:caps w:val="0"/>
      <w:smallCaps/>
      <w:color w:val="007789" w:themeColor="accent1" w:themeShade="BF"/>
      <w:spacing w:val="5"/>
    </w:rPr>
  </w:style>
  <w:style w:type="paragraph" w:styleId="Descripcin">
    <w:name w:val="caption"/>
    <w:basedOn w:val="Normal"/>
    <w:next w:val="Normal"/>
    <w:uiPriority w:val="35"/>
    <w:semiHidden/>
    <w:unhideWhenUsed/>
    <w:qFormat/>
    <w:rsid w:val="00C6554A"/>
    <w:rPr>
      <w:i/>
      <w:iCs/>
      <w:color w:val="4E5B6F" w:themeColor="text2"/>
      <w:szCs w:val="18"/>
    </w:rPr>
  </w:style>
  <w:style w:type="paragraph" w:styleId="Textodeglobo">
    <w:name w:val="Balloon Text"/>
    <w:basedOn w:val="Normal"/>
    <w:link w:val="TextodegloboCar"/>
    <w:uiPriority w:val="99"/>
    <w:semiHidden/>
    <w:unhideWhenUsed/>
    <w:rsid w:val="00C6554A"/>
    <w:rPr>
      <w:rFonts w:ascii="Segoe UI" w:hAnsi="Segoe UI" w:cs="Segoe UI"/>
      <w:szCs w:val="18"/>
    </w:rPr>
  </w:style>
  <w:style w:type="character" w:customStyle="1" w:styleId="TextodegloboCar">
    <w:name w:val="Texto de globo Car"/>
    <w:basedOn w:val="Fuentedeprrafopredeter"/>
    <w:link w:val="Textodeglobo"/>
    <w:uiPriority w:val="99"/>
    <w:semiHidden/>
    <w:rsid w:val="00C6554A"/>
    <w:rPr>
      <w:rFonts w:ascii="Segoe UI" w:hAnsi="Segoe UI" w:cs="Segoe UI"/>
      <w:szCs w:val="18"/>
    </w:rPr>
  </w:style>
  <w:style w:type="paragraph" w:styleId="Textodebloque">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Textoindependiente3">
    <w:name w:val="Body Text 3"/>
    <w:basedOn w:val="Normal"/>
    <w:link w:val="Textoindependiente3Car"/>
    <w:uiPriority w:val="99"/>
    <w:semiHidden/>
    <w:unhideWhenUsed/>
    <w:rsid w:val="00C6554A"/>
    <w:pPr>
      <w:spacing w:before="120" w:after="120" w:line="264" w:lineRule="auto"/>
    </w:pPr>
    <w:rPr>
      <w:rFonts w:asciiTheme="minorHAnsi" w:eastAsiaTheme="minorHAnsi" w:hAnsiTheme="minorHAnsi" w:cstheme="minorBidi"/>
      <w:color w:val="595959" w:themeColor="text1" w:themeTint="A6"/>
      <w:sz w:val="22"/>
      <w:szCs w:val="16"/>
      <w:lang w:val="es-ES" w:eastAsia="en-US"/>
    </w:rPr>
  </w:style>
  <w:style w:type="character" w:customStyle="1" w:styleId="Textoindependiente3Car">
    <w:name w:val="Texto independiente 3 Car"/>
    <w:basedOn w:val="Fuentedeprrafopredeter"/>
    <w:link w:val="Textoindependiente3"/>
    <w:uiPriority w:val="99"/>
    <w:semiHidden/>
    <w:rsid w:val="00C6554A"/>
    <w:rPr>
      <w:szCs w:val="16"/>
    </w:rPr>
  </w:style>
  <w:style w:type="paragraph" w:styleId="Sangra3detindependiente">
    <w:name w:val="Body Text Indent 3"/>
    <w:basedOn w:val="Normal"/>
    <w:link w:val="Sangra3detindependienteCar"/>
    <w:uiPriority w:val="99"/>
    <w:semiHidden/>
    <w:unhideWhenUsed/>
    <w:rsid w:val="00C6554A"/>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C6554A"/>
    <w:rPr>
      <w:szCs w:val="16"/>
    </w:rPr>
  </w:style>
  <w:style w:type="character" w:styleId="Refdecomentario">
    <w:name w:val="annotation reference"/>
    <w:basedOn w:val="Fuentedeprrafopredeter"/>
    <w:uiPriority w:val="99"/>
    <w:semiHidden/>
    <w:unhideWhenUsed/>
    <w:rsid w:val="00C6554A"/>
    <w:rPr>
      <w:sz w:val="22"/>
      <w:szCs w:val="16"/>
    </w:rPr>
  </w:style>
  <w:style w:type="paragraph" w:styleId="Textocomentario">
    <w:name w:val="annotation text"/>
    <w:basedOn w:val="Normal"/>
    <w:link w:val="TextocomentarioCar"/>
    <w:uiPriority w:val="99"/>
    <w:semiHidden/>
    <w:unhideWhenUsed/>
    <w:rsid w:val="00C6554A"/>
    <w:rPr>
      <w:szCs w:val="20"/>
    </w:rPr>
  </w:style>
  <w:style w:type="character" w:customStyle="1" w:styleId="TextocomentarioCar">
    <w:name w:val="Texto comentario Car"/>
    <w:basedOn w:val="Fuentedeprrafopredeter"/>
    <w:link w:val="Textocomentario"/>
    <w:uiPriority w:val="99"/>
    <w:semiHidden/>
    <w:rsid w:val="00C6554A"/>
    <w:rPr>
      <w:szCs w:val="20"/>
    </w:rPr>
  </w:style>
  <w:style w:type="paragraph" w:styleId="Asuntodelcomentario">
    <w:name w:val="annotation subject"/>
    <w:basedOn w:val="Textocomentario"/>
    <w:next w:val="Textocomentario"/>
    <w:link w:val="AsuntodelcomentarioCar"/>
    <w:uiPriority w:val="99"/>
    <w:semiHidden/>
    <w:unhideWhenUsed/>
    <w:rsid w:val="00C6554A"/>
    <w:rPr>
      <w:b/>
      <w:bCs/>
    </w:rPr>
  </w:style>
  <w:style w:type="character" w:customStyle="1" w:styleId="AsuntodelcomentarioCar">
    <w:name w:val="Asunto del comentario Car"/>
    <w:basedOn w:val="TextocomentarioCar"/>
    <w:link w:val="Asuntodelcomentario"/>
    <w:uiPriority w:val="99"/>
    <w:semiHidden/>
    <w:rsid w:val="00C6554A"/>
    <w:rPr>
      <w:b/>
      <w:bCs/>
      <w:szCs w:val="20"/>
    </w:rPr>
  </w:style>
  <w:style w:type="paragraph" w:styleId="Mapadeldocumento">
    <w:name w:val="Document Map"/>
    <w:basedOn w:val="Normal"/>
    <w:link w:val="MapadeldocumentoCar"/>
    <w:uiPriority w:val="99"/>
    <w:semiHidden/>
    <w:unhideWhenUsed/>
    <w:rsid w:val="00C6554A"/>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C6554A"/>
    <w:rPr>
      <w:rFonts w:ascii="Segoe UI" w:hAnsi="Segoe UI" w:cs="Segoe UI"/>
      <w:szCs w:val="16"/>
    </w:rPr>
  </w:style>
  <w:style w:type="paragraph" w:styleId="Textonotaalfinal">
    <w:name w:val="endnote text"/>
    <w:basedOn w:val="Normal"/>
    <w:link w:val="TextonotaalfinalCar"/>
    <w:uiPriority w:val="99"/>
    <w:semiHidden/>
    <w:unhideWhenUsed/>
    <w:rsid w:val="00C6554A"/>
    <w:rPr>
      <w:szCs w:val="20"/>
    </w:rPr>
  </w:style>
  <w:style w:type="character" w:customStyle="1" w:styleId="TextonotaalfinalCar">
    <w:name w:val="Texto nota al final Car"/>
    <w:basedOn w:val="Fuentedeprrafopredeter"/>
    <w:link w:val="Textonotaalfinal"/>
    <w:uiPriority w:val="99"/>
    <w:semiHidden/>
    <w:rsid w:val="00C6554A"/>
    <w:rPr>
      <w:szCs w:val="20"/>
    </w:rPr>
  </w:style>
  <w:style w:type="paragraph" w:styleId="Remitedesobre">
    <w:name w:val="envelope return"/>
    <w:basedOn w:val="Normal"/>
    <w:uiPriority w:val="99"/>
    <w:semiHidden/>
    <w:unhideWhenUsed/>
    <w:rsid w:val="00C6554A"/>
    <w:rPr>
      <w:rFonts w:asciiTheme="majorHAnsi" w:eastAsiaTheme="majorEastAsia" w:hAnsiTheme="majorHAnsi" w:cstheme="majorBidi"/>
      <w:color w:val="595959" w:themeColor="text1" w:themeTint="A6"/>
      <w:sz w:val="22"/>
      <w:szCs w:val="20"/>
      <w:lang w:val="es-ES" w:eastAsia="en-US"/>
    </w:rPr>
  </w:style>
  <w:style w:type="character" w:styleId="Hipervnculovisitado">
    <w:name w:val="FollowedHyperlink"/>
    <w:basedOn w:val="Fuentedeprrafopredeter"/>
    <w:uiPriority w:val="99"/>
    <w:semiHidden/>
    <w:unhideWhenUsed/>
    <w:rsid w:val="00C6554A"/>
    <w:rPr>
      <w:color w:val="007789" w:themeColor="accent1" w:themeShade="BF"/>
      <w:u w:val="single"/>
    </w:rPr>
  </w:style>
  <w:style w:type="paragraph" w:styleId="Textonotapie">
    <w:name w:val="footnote text"/>
    <w:basedOn w:val="Normal"/>
    <w:link w:val="TextonotapieCar"/>
    <w:uiPriority w:val="99"/>
    <w:semiHidden/>
    <w:unhideWhenUsed/>
    <w:rsid w:val="00C6554A"/>
    <w:rPr>
      <w:rFonts w:asciiTheme="minorHAnsi" w:eastAsiaTheme="minorHAnsi" w:hAnsiTheme="minorHAnsi" w:cstheme="minorBidi"/>
      <w:color w:val="595959" w:themeColor="text1" w:themeTint="A6"/>
      <w:sz w:val="22"/>
      <w:szCs w:val="20"/>
      <w:lang w:val="es-ES" w:eastAsia="en-US"/>
    </w:rPr>
  </w:style>
  <w:style w:type="character" w:customStyle="1" w:styleId="TextonotapieCar">
    <w:name w:val="Texto nota pie Car"/>
    <w:basedOn w:val="Fuentedeprrafopredeter"/>
    <w:link w:val="Textonotapie"/>
    <w:uiPriority w:val="99"/>
    <w:semiHidden/>
    <w:rsid w:val="00C6554A"/>
    <w:rPr>
      <w:szCs w:val="20"/>
    </w:rPr>
  </w:style>
  <w:style w:type="character" w:styleId="CdigoHTML">
    <w:name w:val="HTML Code"/>
    <w:basedOn w:val="Fuentedeprrafopredeter"/>
    <w:uiPriority w:val="99"/>
    <w:semiHidden/>
    <w:unhideWhenUsed/>
    <w:rsid w:val="00C6554A"/>
    <w:rPr>
      <w:rFonts w:ascii="Consolas" w:hAnsi="Consolas"/>
      <w:sz w:val="22"/>
      <w:szCs w:val="20"/>
    </w:rPr>
  </w:style>
  <w:style w:type="character" w:styleId="TecladoHTML">
    <w:name w:val="HTML Keyboard"/>
    <w:basedOn w:val="Fuentedeprrafopredeter"/>
    <w:uiPriority w:val="99"/>
    <w:semiHidden/>
    <w:unhideWhenUsed/>
    <w:rsid w:val="00C6554A"/>
    <w:rPr>
      <w:rFonts w:ascii="Consolas" w:hAnsi="Consolas"/>
      <w:sz w:val="22"/>
      <w:szCs w:val="20"/>
    </w:rPr>
  </w:style>
  <w:style w:type="paragraph" w:styleId="HTMLconformatoprevio">
    <w:name w:val="HTML Preformatted"/>
    <w:basedOn w:val="Normal"/>
    <w:link w:val="HTMLconformatoprevioCar"/>
    <w:uiPriority w:val="99"/>
    <w:semiHidden/>
    <w:unhideWhenUsed/>
    <w:rsid w:val="00C6554A"/>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C6554A"/>
    <w:rPr>
      <w:rFonts w:ascii="Consolas" w:hAnsi="Consolas"/>
      <w:szCs w:val="20"/>
    </w:rPr>
  </w:style>
  <w:style w:type="character" w:styleId="MquinadeescribirHTML">
    <w:name w:val="HTML Typewriter"/>
    <w:basedOn w:val="Fuentedeprrafopredeter"/>
    <w:uiPriority w:val="99"/>
    <w:semiHidden/>
    <w:unhideWhenUsed/>
    <w:rsid w:val="00C6554A"/>
    <w:rPr>
      <w:rFonts w:ascii="Consolas" w:hAnsi="Consolas"/>
      <w:sz w:val="22"/>
      <w:szCs w:val="20"/>
    </w:rPr>
  </w:style>
  <w:style w:type="character" w:styleId="Hipervnculo">
    <w:name w:val="Hyperlink"/>
    <w:basedOn w:val="Fuentedeprrafopredeter"/>
    <w:uiPriority w:val="99"/>
    <w:unhideWhenUsed/>
    <w:rsid w:val="00C6554A"/>
    <w:rPr>
      <w:color w:val="835D00" w:themeColor="accent3" w:themeShade="80"/>
      <w:u w:val="single"/>
    </w:rPr>
  </w:style>
  <w:style w:type="paragraph" w:styleId="Textomacro">
    <w:name w:val="macro"/>
    <w:link w:val="TextomacroC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C6554A"/>
    <w:rPr>
      <w:rFonts w:ascii="Consolas" w:hAnsi="Consolas"/>
      <w:szCs w:val="20"/>
    </w:rPr>
  </w:style>
  <w:style w:type="character" w:styleId="Textodelmarcadordeposicin">
    <w:name w:val="Placeholder Text"/>
    <w:basedOn w:val="Fuentedeprrafopredeter"/>
    <w:uiPriority w:val="99"/>
    <w:semiHidden/>
    <w:rsid w:val="00C6554A"/>
    <w:rPr>
      <w:color w:val="595959" w:themeColor="text1" w:themeTint="A6"/>
    </w:rPr>
  </w:style>
  <w:style w:type="paragraph" w:styleId="Textosinformato">
    <w:name w:val="Plain Text"/>
    <w:basedOn w:val="Normal"/>
    <w:link w:val="TextosinformatoCar"/>
    <w:uiPriority w:val="99"/>
    <w:semiHidden/>
    <w:unhideWhenUsed/>
    <w:rsid w:val="00C6554A"/>
    <w:rPr>
      <w:rFonts w:ascii="Consolas" w:hAnsi="Consolas"/>
      <w:szCs w:val="21"/>
    </w:rPr>
  </w:style>
  <w:style w:type="character" w:customStyle="1" w:styleId="TextosinformatoCar">
    <w:name w:val="Texto sin formato Car"/>
    <w:basedOn w:val="Fuentedeprrafopredeter"/>
    <w:link w:val="Textosinformato"/>
    <w:uiPriority w:val="99"/>
    <w:semiHidden/>
    <w:rsid w:val="00C6554A"/>
    <w:rPr>
      <w:rFonts w:ascii="Consolas" w:hAnsi="Consolas"/>
      <w:szCs w:val="21"/>
    </w:rPr>
  </w:style>
  <w:style w:type="character" w:customStyle="1" w:styleId="Ttulo7Car">
    <w:name w:val="Título 7 Car"/>
    <w:basedOn w:val="Fuentedeprrafopredeter"/>
    <w:link w:val="Ttulo7"/>
    <w:uiPriority w:val="9"/>
    <w:semiHidden/>
    <w:rsid w:val="002554CD"/>
    <w:rPr>
      <w:rFonts w:asciiTheme="majorHAnsi" w:eastAsiaTheme="majorEastAsia" w:hAnsiTheme="majorHAnsi" w:cstheme="majorBidi"/>
      <w:i/>
      <w:iCs/>
      <w:color w:val="004F5B" w:themeColor="accent1" w:themeShade="7F"/>
    </w:rPr>
  </w:style>
  <w:style w:type="character" w:customStyle="1" w:styleId="Ttulo6Car">
    <w:name w:val="Título 6 Car"/>
    <w:basedOn w:val="Fuentedeprrafopredeter"/>
    <w:link w:val="Ttulo6"/>
    <w:uiPriority w:val="9"/>
    <w:semiHidden/>
    <w:rsid w:val="002554CD"/>
    <w:rPr>
      <w:rFonts w:asciiTheme="majorHAnsi" w:eastAsiaTheme="majorEastAsia" w:hAnsiTheme="majorHAnsi" w:cstheme="majorBidi"/>
      <w:color w:val="004F5B" w:themeColor="accent1" w:themeShade="7F"/>
    </w:rPr>
  </w:style>
  <w:style w:type="paragraph" w:styleId="Prrafodelista">
    <w:name w:val="List Paragraph"/>
    <w:basedOn w:val="Normal"/>
    <w:uiPriority w:val="34"/>
    <w:unhideWhenUsed/>
    <w:qFormat/>
    <w:rsid w:val="004C7180"/>
    <w:pPr>
      <w:spacing w:before="120" w:after="200" w:line="264" w:lineRule="auto"/>
      <w:ind w:left="720"/>
      <w:contextualSpacing/>
    </w:pPr>
    <w:rPr>
      <w:rFonts w:asciiTheme="minorHAnsi" w:eastAsiaTheme="minorHAnsi" w:hAnsiTheme="minorHAnsi" w:cstheme="minorBidi"/>
      <w:color w:val="595959" w:themeColor="text1" w:themeTint="A6"/>
      <w:sz w:val="22"/>
      <w:szCs w:val="22"/>
      <w:lang w:val="es-ES" w:eastAsia="en-US"/>
    </w:rPr>
  </w:style>
  <w:style w:type="character" w:styleId="Mencinsinresolver">
    <w:name w:val="Unresolved Mention"/>
    <w:basedOn w:val="Fuentedeprrafopredeter"/>
    <w:uiPriority w:val="99"/>
    <w:semiHidden/>
    <w:unhideWhenUsed/>
    <w:rsid w:val="00E8796E"/>
    <w:rPr>
      <w:color w:val="605E5C"/>
      <w:shd w:val="clear" w:color="auto" w:fill="E1DFDD"/>
    </w:rPr>
  </w:style>
  <w:style w:type="paragraph" w:styleId="NormalWeb">
    <w:name w:val="Normal (Web)"/>
    <w:basedOn w:val="Normal"/>
    <w:uiPriority w:val="99"/>
    <w:unhideWhenUsed/>
    <w:rsid w:val="00764736"/>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224">
      <w:bodyDiv w:val="1"/>
      <w:marLeft w:val="0"/>
      <w:marRight w:val="0"/>
      <w:marTop w:val="0"/>
      <w:marBottom w:val="0"/>
      <w:divBdr>
        <w:top w:val="none" w:sz="0" w:space="0" w:color="auto"/>
        <w:left w:val="none" w:sz="0" w:space="0" w:color="auto"/>
        <w:bottom w:val="none" w:sz="0" w:space="0" w:color="auto"/>
        <w:right w:val="none" w:sz="0" w:space="0" w:color="auto"/>
      </w:divBdr>
    </w:div>
    <w:div w:id="210652995">
      <w:bodyDiv w:val="1"/>
      <w:marLeft w:val="0"/>
      <w:marRight w:val="0"/>
      <w:marTop w:val="0"/>
      <w:marBottom w:val="0"/>
      <w:divBdr>
        <w:top w:val="none" w:sz="0" w:space="0" w:color="auto"/>
        <w:left w:val="none" w:sz="0" w:space="0" w:color="auto"/>
        <w:bottom w:val="none" w:sz="0" w:space="0" w:color="auto"/>
        <w:right w:val="none" w:sz="0" w:space="0" w:color="auto"/>
      </w:divBdr>
    </w:div>
    <w:div w:id="216668812">
      <w:bodyDiv w:val="1"/>
      <w:marLeft w:val="0"/>
      <w:marRight w:val="0"/>
      <w:marTop w:val="0"/>
      <w:marBottom w:val="0"/>
      <w:divBdr>
        <w:top w:val="none" w:sz="0" w:space="0" w:color="auto"/>
        <w:left w:val="none" w:sz="0" w:space="0" w:color="auto"/>
        <w:bottom w:val="none" w:sz="0" w:space="0" w:color="auto"/>
        <w:right w:val="none" w:sz="0" w:space="0" w:color="auto"/>
      </w:divBdr>
    </w:div>
    <w:div w:id="353461644">
      <w:bodyDiv w:val="1"/>
      <w:marLeft w:val="0"/>
      <w:marRight w:val="0"/>
      <w:marTop w:val="0"/>
      <w:marBottom w:val="0"/>
      <w:divBdr>
        <w:top w:val="none" w:sz="0" w:space="0" w:color="auto"/>
        <w:left w:val="none" w:sz="0" w:space="0" w:color="auto"/>
        <w:bottom w:val="none" w:sz="0" w:space="0" w:color="auto"/>
        <w:right w:val="none" w:sz="0" w:space="0" w:color="auto"/>
      </w:divBdr>
    </w:div>
    <w:div w:id="443572936">
      <w:bodyDiv w:val="1"/>
      <w:marLeft w:val="0"/>
      <w:marRight w:val="0"/>
      <w:marTop w:val="0"/>
      <w:marBottom w:val="0"/>
      <w:divBdr>
        <w:top w:val="none" w:sz="0" w:space="0" w:color="auto"/>
        <w:left w:val="none" w:sz="0" w:space="0" w:color="auto"/>
        <w:bottom w:val="none" w:sz="0" w:space="0" w:color="auto"/>
        <w:right w:val="none" w:sz="0" w:space="0" w:color="auto"/>
      </w:divBdr>
      <w:divsChild>
        <w:div w:id="1578973639">
          <w:marLeft w:val="0"/>
          <w:marRight w:val="0"/>
          <w:marTop w:val="0"/>
          <w:marBottom w:val="0"/>
          <w:divBdr>
            <w:top w:val="none" w:sz="0" w:space="0" w:color="auto"/>
            <w:left w:val="none" w:sz="0" w:space="0" w:color="auto"/>
            <w:bottom w:val="none" w:sz="0" w:space="0" w:color="auto"/>
            <w:right w:val="none" w:sz="0" w:space="0" w:color="auto"/>
          </w:divBdr>
        </w:div>
        <w:div w:id="262537870">
          <w:marLeft w:val="0"/>
          <w:marRight w:val="0"/>
          <w:marTop w:val="0"/>
          <w:marBottom w:val="0"/>
          <w:divBdr>
            <w:top w:val="none" w:sz="0" w:space="0" w:color="auto"/>
            <w:left w:val="none" w:sz="0" w:space="0" w:color="auto"/>
            <w:bottom w:val="none" w:sz="0" w:space="0" w:color="auto"/>
            <w:right w:val="none" w:sz="0" w:space="0" w:color="auto"/>
          </w:divBdr>
        </w:div>
      </w:divsChild>
    </w:div>
    <w:div w:id="536629479">
      <w:bodyDiv w:val="1"/>
      <w:marLeft w:val="0"/>
      <w:marRight w:val="0"/>
      <w:marTop w:val="0"/>
      <w:marBottom w:val="0"/>
      <w:divBdr>
        <w:top w:val="none" w:sz="0" w:space="0" w:color="auto"/>
        <w:left w:val="none" w:sz="0" w:space="0" w:color="auto"/>
        <w:bottom w:val="none" w:sz="0" w:space="0" w:color="auto"/>
        <w:right w:val="none" w:sz="0" w:space="0" w:color="auto"/>
      </w:divBdr>
      <w:divsChild>
        <w:div w:id="2060351001">
          <w:marLeft w:val="0"/>
          <w:marRight w:val="360"/>
          <w:marTop w:val="0"/>
          <w:marBottom w:val="0"/>
          <w:divBdr>
            <w:top w:val="none" w:sz="0" w:space="0" w:color="auto"/>
            <w:left w:val="none" w:sz="0" w:space="0" w:color="auto"/>
            <w:bottom w:val="none" w:sz="0" w:space="0" w:color="auto"/>
            <w:right w:val="none" w:sz="0" w:space="0" w:color="auto"/>
          </w:divBdr>
          <w:divsChild>
            <w:div w:id="1831602603">
              <w:marLeft w:val="0"/>
              <w:marRight w:val="0"/>
              <w:marTop w:val="0"/>
              <w:marBottom w:val="0"/>
              <w:divBdr>
                <w:top w:val="none" w:sz="0" w:space="0" w:color="auto"/>
                <w:left w:val="none" w:sz="0" w:space="0" w:color="auto"/>
                <w:bottom w:val="none" w:sz="0" w:space="0" w:color="auto"/>
                <w:right w:val="none" w:sz="0" w:space="0" w:color="auto"/>
              </w:divBdr>
              <w:divsChild>
                <w:div w:id="2385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9720">
          <w:marLeft w:val="0"/>
          <w:marRight w:val="0"/>
          <w:marTop w:val="0"/>
          <w:marBottom w:val="0"/>
          <w:divBdr>
            <w:top w:val="none" w:sz="0" w:space="0" w:color="auto"/>
            <w:left w:val="none" w:sz="0" w:space="0" w:color="auto"/>
            <w:bottom w:val="none" w:sz="0" w:space="0" w:color="auto"/>
            <w:right w:val="none" w:sz="0" w:space="0" w:color="auto"/>
          </w:divBdr>
          <w:divsChild>
            <w:div w:id="757336592">
              <w:marLeft w:val="0"/>
              <w:marRight w:val="0"/>
              <w:marTop w:val="0"/>
              <w:marBottom w:val="0"/>
              <w:divBdr>
                <w:top w:val="none" w:sz="0" w:space="0" w:color="auto"/>
                <w:left w:val="none" w:sz="0" w:space="0" w:color="auto"/>
                <w:bottom w:val="none" w:sz="0" w:space="0" w:color="auto"/>
                <w:right w:val="none" w:sz="0" w:space="0" w:color="auto"/>
              </w:divBdr>
              <w:divsChild>
                <w:div w:id="14123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5414">
      <w:bodyDiv w:val="1"/>
      <w:marLeft w:val="0"/>
      <w:marRight w:val="0"/>
      <w:marTop w:val="0"/>
      <w:marBottom w:val="0"/>
      <w:divBdr>
        <w:top w:val="none" w:sz="0" w:space="0" w:color="auto"/>
        <w:left w:val="none" w:sz="0" w:space="0" w:color="auto"/>
        <w:bottom w:val="none" w:sz="0" w:space="0" w:color="auto"/>
        <w:right w:val="none" w:sz="0" w:space="0" w:color="auto"/>
      </w:divBdr>
    </w:div>
    <w:div w:id="1225410226">
      <w:bodyDiv w:val="1"/>
      <w:marLeft w:val="0"/>
      <w:marRight w:val="0"/>
      <w:marTop w:val="0"/>
      <w:marBottom w:val="0"/>
      <w:divBdr>
        <w:top w:val="none" w:sz="0" w:space="0" w:color="auto"/>
        <w:left w:val="none" w:sz="0" w:space="0" w:color="auto"/>
        <w:bottom w:val="none" w:sz="0" w:space="0" w:color="auto"/>
        <w:right w:val="none" w:sz="0" w:space="0" w:color="auto"/>
      </w:divBdr>
    </w:div>
    <w:div w:id="1226990246">
      <w:bodyDiv w:val="1"/>
      <w:marLeft w:val="0"/>
      <w:marRight w:val="0"/>
      <w:marTop w:val="0"/>
      <w:marBottom w:val="0"/>
      <w:divBdr>
        <w:top w:val="none" w:sz="0" w:space="0" w:color="auto"/>
        <w:left w:val="none" w:sz="0" w:space="0" w:color="auto"/>
        <w:bottom w:val="none" w:sz="0" w:space="0" w:color="auto"/>
        <w:right w:val="none" w:sz="0" w:space="0" w:color="auto"/>
      </w:divBdr>
    </w:div>
    <w:div w:id="1253318848">
      <w:bodyDiv w:val="1"/>
      <w:marLeft w:val="0"/>
      <w:marRight w:val="0"/>
      <w:marTop w:val="0"/>
      <w:marBottom w:val="0"/>
      <w:divBdr>
        <w:top w:val="none" w:sz="0" w:space="0" w:color="auto"/>
        <w:left w:val="none" w:sz="0" w:space="0" w:color="auto"/>
        <w:bottom w:val="none" w:sz="0" w:space="0" w:color="auto"/>
        <w:right w:val="none" w:sz="0" w:space="0" w:color="auto"/>
      </w:divBdr>
    </w:div>
    <w:div w:id="1460344949">
      <w:bodyDiv w:val="1"/>
      <w:marLeft w:val="0"/>
      <w:marRight w:val="0"/>
      <w:marTop w:val="0"/>
      <w:marBottom w:val="0"/>
      <w:divBdr>
        <w:top w:val="none" w:sz="0" w:space="0" w:color="auto"/>
        <w:left w:val="none" w:sz="0" w:space="0" w:color="auto"/>
        <w:bottom w:val="none" w:sz="0" w:space="0" w:color="auto"/>
        <w:right w:val="none" w:sz="0" w:space="0" w:color="auto"/>
      </w:divBdr>
    </w:div>
    <w:div w:id="1643777611">
      <w:bodyDiv w:val="1"/>
      <w:marLeft w:val="0"/>
      <w:marRight w:val="0"/>
      <w:marTop w:val="0"/>
      <w:marBottom w:val="0"/>
      <w:divBdr>
        <w:top w:val="none" w:sz="0" w:space="0" w:color="auto"/>
        <w:left w:val="none" w:sz="0" w:space="0" w:color="auto"/>
        <w:bottom w:val="none" w:sz="0" w:space="0" w:color="auto"/>
        <w:right w:val="none" w:sz="0" w:space="0" w:color="auto"/>
      </w:divBdr>
    </w:div>
    <w:div w:id="1823040926">
      <w:bodyDiv w:val="1"/>
      <w:marLeft w:val="0"/>
      <w:marRight w:val="0"/>
      <w:marTop w:val="0"/>
      <w:marBottom w:val="0"/>
      <w:divBdr>
        <w:top w:val="none" w:sz="0" w:space="0" w:color="auto"/>
        <w:left w:val="none" w:sz="0" w:space="0" w:color="auto"/>
        <w:bottom w:val="none" w:sz="0" w:space="0" w:color="auto"/>
        <w:right w:val="none" w:sz="0" w:space="0" w:color="auto"/>
      </w:divBdr>
    </w:div>
    <w:div w:id="18663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A65FJVFR3NAS-1820456951-8676</_dlc_DocId>
    <_dlc_DocIdUrl xmlns="fe5c55e1-1529-428c-8c16-ada3460a0e7a">
      <Url>http://tame/_layouts/15/DocIdRedir.aspx?ID=A65FJVFR3NAS-1820456951-8676</Url>
      <Description>A65FJVFR3NAS-1820456951-8676</Description>
    </_dlc_DocIdUrl>
  </documentManagement>
</p:properties>
</file>

<file path=customXml/itemProps1.xml><?xml version="1.0" encoding="utf-8"?>
<ds:datastoreItem xmlns:ds="http://schemas.openxmlformats.org/officeDocument/2006/customXml" ds:itemID="{251F7DF6-F53C-43F0-998B-69AD15251FF0}">
  <ds:schemaRefs>
    <ds:schemaRef ds:uri="http://schemas.openxmlformats.org/officeDocument/2006/bibliography"/>
  </ds:schemaRefs>
</ds:datastoreItem>
</file>

<file path=customXml/itemProps2.xml><?xml version="1.0" encoding="utf-8"?>
<ds:datastoreItem xmlns:ds="http://schemas.openxmlformats.org/officeDocument/2006/customXml" ds:itemID="{795D48D1-859E-44E4-827D-6045F48E3CD6}"/>
</file>

<file path=customXml/itemProps3.xml><?xml version="1.0" encoding="utf-8"?>
<ds:datastoreItem xmlns:ds="http://schemas.openxmlformats.org/officeDocument/2006/customXml" ds:itemID="{DC1F57CA-7D43-441F-A472-D5BAEBADD183}"/>
</file>

<file path=customXml/itemProps4.xml><?xml version="1.0" encoding="utf-8"?>
<ds:datastoreItem xmlns:ds="http://schemas.openxmlformats.org/officeDocument/2006/customXml" ds:itemID="{22855817-A924-4930-A7F6-AEDA0D082F4F}"/>
</file>

<file path=customXml/itemProps5.xml><?xml version="1.0" encoding="utf-8"?>
<ds:datastoreItem xmlns:ds="http://schemas.openxmlformats.org/officeDocument/2006/customXml" ds:itemID="{6B18BEEC-CC1B-41C1-9461-377EEFA93BFF}"/>
</file>

<file path=docProps/app.xml><?xml version="1.0" encoding="utf-8"?>
<Properties xmlns="http://schemas.openxmlformats.org/officeDocument/2006/extended-properties" xmlns:vt="http://schemas.openxmlformats.org/officeDocument/2006/docPropsVTypes">
  <Template>Normal.dotm</Template>
  <TotalTime>10</TotalTime>
  <Pages>12</Pages>
  <Words>6135</Words>
  <Characters>33748</Characters>
  <Application>Microsoft Office Word</Application>
  <DocSecurity>0</DocSecurity>
  <Lines>281</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Ximena Cubides Amaya</dc:creator>
  <cp:keywords/>
  <dc:description/>
  <cp:lastModifiedBy>Antonio Daniel Gil Lozano</cp:lastModifiedBy>
  <cp:revision>12</cp:revision>
  <dcterms:created xsi:type="dcterms:W3CDTF">2021-08-31T21:46:00Z</dcterms:created>
  <dcterms:modified xsi:type="dcterms:W3CDTF">2021-09-01T18:31:00Z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ee99543e-441e-40e0-8061-d5a91805dfec</vt:lpwstr>
  </property>
</Properties>
</file>